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512F" w:rsidRPr="0036512F" w:rsidRDefault="0036512F" w:rsidP="0036512F">
      <w:pPr>
        <w:jc w:val="both"/>
        <w:rPr>
          <w:rFonts w:ascii="Times New Roman" w:eastAsia="Calibri" w:hAnsi="Times New Roman" w:cs="Times New Roman"/>
          <w:sz w:val="24"/>
          <w:szCs w:val="18"/>
        </w:rPr>
      </w:pPr>
      <w:r w:rsidRPr="0036512F">
        <w:rPr>
          <w:rFonts w:ascii="Calibri" w:eastAsia="Calibri" w:hAnsi="Calibri" w:cs="Times New Roman"/>
          <w:noProof/>
          <w:lang w:eastAsia="tr-TR"/>
        </w:rPr>
        <w:drawing>
          <wp:inline distT="0" distB="0" distL="0" distR="0" wp14:anchorId="749D70D2" wp14:editId="56FE2E09">
            <wp:extent cx="9614426" cy="4644949"/>
            <wp:effectExtent l="0" t="0" r="6350" b="381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4426" cy="464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12F" w:rsidRPr="0036512F" w:rsidRDefault="0036512F" w:rsidP="0036512F">
      <w:pPr>
        <w:rPr>
          <w:rFonts w:ascii="Times New Roman" w:eastAsia="Calibri" w:hAnsi="Times New Roman" w:cs="Times New Roman"/>
          <w:sz w:val="18"/>
          <w:szCs w:val="18"/>
        </w:rPr>
      </w:pPr>
    </w:p>
    <w:p w:rsidR="0036512F" w:rsidRPr="0036512F" w:rsidRDefault="0036512F" w:rsidP="0036512F">
      <w:pPr>
        <w:rPr>
          <w:rFonts w:ascii="Times New Roman" w:eastAsia="Calibri" w:hAnsi="Times New Roman" w:cs="Times New Roman"/>
          <w:sz w:val="18"/>
          <w:szCs w:val="18"/>
        </w:rPr>
      </w:pPr>
    </w:p>
    <w:p w:rsidR="0036512F" w:rsidRPr="0036512F" w:rsidRDefault="0036512F" w:rsidP="0036512F">
      <w:pPr>
        <w:rPr>
          <w:rFonts w:ascii="Times New Roman" w:eastAsia="Calibri" w:hAnsi="Times New Roman" w:cs="Times New Roman"/>
          <w:sz w:val="18"/>
          <w:szCs w:val="18"/>
        </w:rPr>
      </w:pPr>
    </w:p>
    <w:p w:rsidR="0036512F" w:rsidRPr="0036512F" w:rsidRDefault="0036512F" w:rsidP="0036512F">
      <w:pPr>
        <w:rPr>
          <w:rFonts w:ascii="Times New Roman" w:eastAsia="Calibri" w:hAnsi="Times New Roman" w:cs="Times New Roman"/>
          <w:sz w:val="18"/>
          <w:szCs w:val="18"/>
        </w:rPr>
      </w:pPr>
    </w:p>
    <w:p w:rsidR="0036512F" w:rsidRPr="0036512F" w:rsidRDefault="0036512F" w:rsidP="0036512F">
      <w:pPr>
        <w:rPr>
          <w:rFonts w:ascii="Times New Roman" w:eastAsia="Calibri" w:hAnsi="Times New Roman" w:cs="Times New Roman"/>
          <w:sz w:val="18"/>
          <w:szCs w:val="18"/>
        </w:rPr>
      </w:pPr>
    </w:p>
    <w:p w:rsidR="0036512F" w:rsidRPr="0036512F" w:rsidRDefault="0036512F" w:rsidP="0036512F">
      <w:pPr>
        <w:rPr>
          <w:rFonts w:ascii="Times New Roman" w:eastAsia="Calibri" w:hAnsi="Times New Roman" w:cs="Times New Roman"/>
          <w:sz w:val="18"/>
          <w:szCs w:val="18"/>
        </w:rPr>
      </w:pPr>
    </w:p>
    <w:p w:rsidR="0036512F" w:rsidRDefault="0036512F" w:rsidP="0036512F">
      <w:pPr>
        <w:rPr>
          <w:rFonts w:ascii="Times New Roman" w:eastAsia="Calibri" w:hAnsi="Times New Roman" w:cs="Times New Roman"/>
          <w:sz w:val="24"/>
          <w:szCs w:val="18"/>
        </w:rPr>
      </w:pPr>
    </w:p>
    <w:p w:rsidR="0036512F" w:rsidRPr="0036512F" w:rsidRDefault="0036512F" w:rsidP="0036512F">
      <w:pPr>
        <w:rPr>
          <w:rFonts w:ascii="Times New Roman" w:eastAsia="Calibri" w:hAnsi="Times New Roman" w:cs="Times New Roman"/>
          <w:sz w:val="18"/>
          <w:szCs w:val="18"/>
        </w:rPr>
      </w:pPr>
      <w:r w:rsidRPr="0036512F">
        <w:rPr>
          <w:rFonts w:ascii="Times New Roman" w:eastAsia="Calibri" w:hAnsi="Times New Roman" w:cs="Times New Roman"/>
          <w:noProof/>
          <w:sz w:val="18"/>
          <w:szCs w:val="18"/>
          <w:lang w:eastAsia="tr-TR"/>
        </w:rPr>
        <w:drawing>
          <wp:inline distT="0" distB="0" distL="0" distR="0" wp14:anchorId="0B289BC3" wp14:editId="2FEC4296">
            <wp:extent cx="9685324" cy="488632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5324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12F" w:rsidRPr="0036512F" w:rsidRDefault="0036512F" w:rsidP="0036512F">
      <w:pPr>
        <w:rPr>
          <w:rFonts w:ascii="Times New Roman" w:eastAsia="Calibri" w:hAnsi="Times New Roman" w:cs="Times New Roman"/>
          <w:sz w:val="18"/>
          <w:szCs w:val="18"/>
        </w:rPr>
      </w:pPr>
    </w:p>
    <w:p w:rsidR="0036512F" w:rsidRPr="0036512F" w:rsidRDefault="0036512F" w:rsidP="0036512F">
      <w:pPr>
        <w:rPr>
          <w:rFonts w:ascii="Times New Roman" w:eastAsia="Calibri" w:hAnsi="Times New Roman" w:cs="Times New Roman"/>
          <w:sz w:val="18"/>
          <w:szCs w:val="18"/>
        </w:rPr>
      </w:pPr>
    </w:p>
    <w:p w:rsidR="0036512F" w:rsidRPr="0036512F" w:rsidRDefault="0036512F" w:rsidP="0036512F">
      <w:pPr>
        <w:rPr>
          <w:rFonts w:ascii="Times New Roman" w:eastAsia="Calibri" w:hAnsi="Times New Roman" w:cs="Times New Roman"/>
          <w:sz w:val="18"/>
          <w:szCs w:val="18"/>
        </w:rPr>
      </w:pPr>
    </w:p>
    <w:p w:rsidR="0036512F" w:rsidRPr="0036512F" w:rsidRDefault="0036512F" w:rsidP="0036512F">
      <w:pPr>
        <w:rPr>
          <w:rFonts w:ascii="Times New Roman" w:eastAsia="Calibri" w:hAnsi="Times New Roman" w:cs="Times New Roman"/>
          <w:sz w:val="18"/>
          <w:szCs w:val="18"/>
        </w:rPr>
      </w:pPr>
    </w:p>
    <w:p w:rsidR="0036512F" w:rsidRPr="0036512F" w:rsidRDefault="0036512F" w:rsidP="0036512F">
      <w:pPr>
        <w:rPr>
          <w:rFonts w:ascii="Times New Roman" w:eastAsia="Calibri" w:hAnsi="Times New Roman" w:cs="Times New Roman"/>
          <w:sz w:val="18"/>
          <w:szCs w:val="18"/>
        </w:rPr>
      </w:pPr>
    </w:p>
    <w:p w:rsidR="0036512F" w:rsidRPr="0036512F" w:rsidRDefault="0036512F" w:rsidP="0036512F">
      <w:pPr>
        <w:rPr>
          <w:rFonts w:ascii="Times New Roman" w:eastAsia="Calibri" w:hAnsi="Times New Roman" w:cs="Times New Roman"/>
          <w:sz w:val="18"/>
          <w:szCs w:val="18"/>
        </w:rPr>
      </w:pPr>
    </w:p>
    <w:p w:rsidR="0036512F" w:rsidRPr="0036512F" w:rsidRDefault="0036512F" w:rsidP="0036512F">
      <w:pPr>
        <w:rPr>
          <w:rFonts w:ascii="Times New Roman" w:eastAsia="Calibri" w:hAnsi="Times New Roman" w:cs="Times New Roman"/>
          <w:sz w:val="18"/>
          <w:szCs w:val="18"/>
        </w:rPr>
      </w:pPr>
    </w:p>
    <w:p w:rsidR="0036512F" w:rsidRPr="0036512F" w:rsidRDefault="0036512F" w:rsidP="0036512F">
      <w:pPr>
        <w:rPr>
          <w:rFonts w:ascii="Times New Roman" w:eastAsia="Calibri" w:hAnsi="Times New Roman" w:cs="Times New Roman"/>
          <w:b/>
          <w:sz w:val="18"/>
          <w:szCs w:val="18"/>
        </w:rPr>
      </w:pPr>
    </w:p>
    <w:p w:rsidR="0036512F" w:rsidRPr="0036512F" w:rsidRDefault="0036512F" w:rsidP="0036512F">
      <w:pPr>
        <w:spacing w:line="360" w:lineRule="auto"/>
        <w:ind w:firstLine="708"/>
        <w:rPr>
          <w:rFonts w:ascii="Times New Roman" w:eastAsia="Calibri" w:hAnsi="Times New Roman" w:cs="Times New Roman"/>
          <w:b/>
          <w:sz w:val="24"/>
          <w:szCs w:val="18"/>
        </w:rPr>
      </w:pPr>
      <w:r w:rsidRPr="0036512F">
        <w:rPr>
          <w:rFonts w:ascii="Times New Roman" w:eastAsia="Calibri" w:hAnsi="Times New Roman" w:cs="Times New Roman"/>
          <w:b/>
          <w:sz w:val="24"/>
          <w:szCs w:val="18"/>
        </w:rPr>
        <w:t>Doğal Risk Seviyesinin Hesaplanması</w:t>
      </w:r>
    </w:p>
    <w:p w:rsidR="0036512F" w:rsidRPr="0036512F" w:rsidRDefault="0036512F" w:rsidP="0036512F">
      <w:pPr>
        <w:numPr>
          <w:ilvl w:val="0"/>
          <w:numId w:val="1"/>
        </w:numPr>
        <w:spacing w:line="360" w:lineRule="auto"/>
        <w:contextualSpacing/>
        <w:rPr>
          <w:rFonts w:ascii="Times New Roman" w:eastAsia="Calibri" w:hAnsi="Times New Roman" w:cs="Times New Roman"/>
          <w:sz w:val="24"/>
          <w:szCs w:val="18"/>
        </w:rPr>
      </w:pPr>
      <w:r w:rsidRPr="0036512F">
        <w:rPr>
          <w:rFonts w:ascii="Times New Roman" w:eastAsia="Calibri" w:hAnsi="Times New Roman" w:cs="Times New Roman"/>
          <w:sz w:val="24"/>
          <w:szCs w:val="18"/>
        </w:rPr>
        <w:t>Doğal risk seviyesi, idare tarafından riske yönelik herhangi bir ilave risk yönetimi faaliyeti uygulanmadan önceki risk seviyesidir.</w:t>
      </w:r>
    </w:p>
    <w:p w:rsidR="0036512F" w:rsidRPr="0036512F" w:rsidRDefault="0036512F" w:rsidP="0036512F">
      <w:pPr>
        <w:numPr>
          <w:ilvl w:val="0"/>
          <w:numId w:val="1"/>
        </w:numPr>
        <w:spacing w:line="360" w:lineRule="auto"/>
        <w:contextualSpacing/>
        <w:rPr>
          <w:rFonts w:ascii="Times New Roman" w:eastAsia="Calibri" w:hAnsi="Times New Roman" w:cs="Times New Roman"/>
          <w:sz w:val="24"/>
          <w:szCs w:val="18"/>
        </w:rPr>
      </w:pPr>
      <w:r w:rsidRPr="0036512F">
        <w:rPr>
          <w:rFonts w:ascii="Times New Roman" w:eastAsia="Calibri" w:hAnsi="Times New Roman" w:cs="Times New Roman"/>
          <w:sz w:val="24"/>
          <w:szCs w:val="18"/>
        </w:rPr>
        <w:t>Doğal risk seviyesi, etki ve olasılık puanlarının çarpımı ile hesaplanır.</w:t>
      </w:r>
    </w:p>
    <w:p w:rsidR="0036512F" w:rsidRPr="0036512F" w:rsidRDefault="0036512F" w:rsidP="0036512F">
      <w:pPr>
        <w:numPr>
          <w:ilvl w:val="0"/>
          <w:numId w:val="1"/>
        </w:numPr>
        <w:spacing w:line="360" w:lineRule="auto"/>
        <w:contextualSpacing/>
        <w:rPr>
          <w:rFonts w:ascii="Times New Roman" w:eastAsia="Calibri" w:hAnsi="Times New Roman" w:cs="Times New Roman"/>
          <w:sz w:val="24"/>
          <w:szCs w:val="18"/>
        </w:rPr>
      </w:pPr>
      <w:r w:rsidRPr="0036512F">
        <w:rPr>
          <w:rFonts w:ascii="Times New Roman" w:eastAsia="Calibri" w:hAnsi="Times New Roman" w:cs="Times New Roman"/>
          <w:sz w:val="24"/>
          <w:szCs w:val="18"/>
        </w:rPr>
        <w:t>Etki ve olasılık puanları en yüksek 5 en düşük 1 olacak şekilde belirlenir.</w:t>
      </w:r>
    </w:p>
    <w:p w:rsidR="0036512F" w:rsidRPr="0036512F" w:rsidRDefault="0036512F" w:rsidP="0036512F">
      <w:pPr>
        <w:rPr>
          <w:rFonts w:ascii="Times New Roman" w:eastAsia="Calibri" w:hAnsi="Times New Roman" w:cs="Times New Roman"/>
          <w:sz w:val="18"/>
          <w:szCs w:val="18"/>
        </w:rPr>
      </w:pPr>
      <w:r w:rsidRPr="0036512F">
        <w:rPr>
          <w:rFonts w:ascii="Calibri" w:eastAsia="Calibri" w:hAnsi="Calibri" w:cs="Times New Roman"/>
          <w:noProof/>
          <w:lang w:eastAsia="tr-TR"/>
        </w:rPr>
        <w:drawing>
          <wp:inline distT="0" distB="0" distL="0" distR="0" wp14:anchorId="15C3378E" wp14:editId="7D370BDD">
            <wp:extent cx="9086026" cy="695325"/>
            <wp:effectExtent l="0" t="0" r="127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8341" cy="70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12F" w:rsidRPr="0036512F" w:rsidRDefault="0036512F" w:rsidP="0036512F">
      <w:pPr>
        <w:rPr>
          <w:rFonts w:ascii="Times New Roman" w:eastAsia="Calibri" w:hAnsi="Times New Roman" w:cs="Times New Roman"/>
          <w:sz w:val="18"/>
          <w:szCs w:val="18"/>
        </w:rPr>
      </w:pPr>
      <w:r w:rsidRPr="0036512F">
        <w:rPr>
          <w:rFonts w:ascii="Times New Roman" w:eastAsia="Calibri" w:hAnsi="Times New Roman" w:cs="Times New Roman"/>
          <w:noProof/>
          <w:sz w:val="18"/>
          <w:szCs w:val="18"/>
          <w:lang w:eastAsia="tr-TR"/>
        </w:rPr>
        <w:lastRenderedPageBreak/>
        <w:drawing>
          <wp:inline distT="0" distB="0" distL="0" distR="0" wp14:anchorId="43CF0FDA" wp14:editId="799FEDB1">
            <wp:extent cx="9820275" cy="3267075"/>
            <wp:effectExtent l="0" t="0" r="9525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2015" cy="3267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12F" w:rsidRPr="0036512F" w:rsidRDefault="0036512F" w:rsidP="0036512F">
      <w:pPr>
        <w:rPr>
          <w:rFonts w:ascii="Times New Roman" w:eastAsia="Calibri" w:hAnsi="Times New Roman" w:cs="Times New Roman"/>
          <w:sz w:val="18"/>
          <w:szCs w:val="18"/>
        </w:rPr>
      </w:pPr>
    </w:p>
    <w:p w:rsidR="0036512F" w:rsidRPr="0036512F" w:rsidRDefault="0036512F" w:rsidP="0036512F">
      <w:pPr>
        <w:rPr>
          <w:rFonts w:ascii="Times New Roman" w:eastAsia="Calibri" w:hAnsi="Times New Roman" w:cs="Times New Roman"/>
          <w:sz w:val="18"/>
          <w:szCs w:val="18"/>
        </w:rPr>
      </w:pPr>
    </w:p>
    <w:p w:rsidR="0036512F" w:rsidRPr="0036512F" w:rsidRDefault="0036512F" w:rsidP="0036512F">
      <w:pPr>
        <w:rPr>
          <w:rFonts w:ascii="Times New Roman" w:eastAsia="Calibri" w:hAnsi="Times New Roman" w:cs="Times New Roman"/>
          <w:sz w:val="18"/>
          <w:szCs w:val="18"/>
        </w:rPr>
      </w:pPr>
    </w:p>
    <w:p w:rsidR="0036512F" w:rsidRPr="0036512F" w:rsidRDefault="0036512F" w:rsidP="0036512F">
      <w:pPr>
        <w:rPr>
          <w:rFonts w:ascii="Times New Roman" w:eastAsia="Calibri" w:hAnsi="Times New Roman" w:cs="Times New Roman"/>
          <w:sz w:val="18"/>
          <w:szCs w:val="18"/>
        </w:rPr>
      </w:pPr>
      <w:r w:rsidRPr="0036512F">
        <w:rPr>
          <w:rFonts w:ascii="Times New Roman" w:eastAsia="Calibri" w:hAnsi="Times New Roman" w:cs="Times New Roman"/>
          <w:noProof/>
          <w:sz w:val="18"/>
          <w:szCs w:val="18"/>
          <w:lang w:eastAsia="tr-TR"/>
        </w:rPr>
        <w:drawing>
          <wp:inline distT="0" distB="0" distL="0" distR="0" wp14:anchorId="076E94CB" wp14:editId="384EDC08">
            <wp:extent cx="10020300" cy="1730923"/>
            <wp:effectExtent l="0" t="0" r="0" b="317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9673" cy="178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12F" w:rsidRPr="0036512F" w:rsidRDefault="0036512F" w:rsidP="0036512F">
      <w:pPr>
        <w:rPr>
          <w:rFonts w:ascii="Times New Roman" w:eastAsia="Calibri" w:hAnsi="Times New Roman" w:cs="Times New Roman"/>
          <w:sz w:val="18"/>
          <w:szCs w:val="18"/>
        </w:rPr>
      </w:pPr>
      <w:r w:rsidRPr="0036512F">
        <w:rPr>
          <w:rFonts w:ascii="Times New Roman" w:eastAsia="Calibri" w:hAnsi="Times New Roman" w:cs="Times New Roman"/>
          <w:noProof/>
          <w:sz w:val="18"/>
          <w:szCs w:val="18"/>
          <w:lang w:eastAsia="tr-TR"/>
        </w:rPr>
        <w:lastRenderedPageBreak/>
        <w:drawing>
          <wp:inline distT="0" distB="0" distL="0" distR="0" wp14:anchorId="445BDFCB" wp14:editId="13A55421">
            <wp:extent cx="10028811" cy="4619625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3010" cy="465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0A7" w:rsidRDefault="004C10A7"/>
    <w:p w:rsidR="004C10A7" w:rsidRDefault="004C10A7">
      <w:r>
        <w:br w:type="page"/>
      </w:r>
    </w:p>
    <w:p w:rsidR="004C10A7" w:rsidRDefault="004C10A7">
      <w:r w:rsidRPr="0036512F">
        <w:rPr>
          <w:rFonts w:ascii="Times New Roman" w:eastAsia="Calibri" w:hAnsi="Times New Roman" w:cs="Times New Roman"/>
          <w:noProof/>
          <w:sz w:val="18"/>
          <w:szCs w:val="18"/>
          <w:lang w:eastAsia="tr-TR"/>
        </w:rPr>
        <w:lastRenderedPageBreak/>
        <w:drawing>
          <wp:inline distT="0" distB="0" distL="0" distR="0" wp14:anchorId="6ECABCC6" wp14:editId="72B8F3B5">
            <wp:extent cx="9257030" cy="5877781"/>
            <wp:effectExtent l="0" t="0" r="1270" b="889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1728" cy="590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DF0434" w:rsidRPr="00DF0434" w:rsidRDefault="00DF0434" w:rsidP="00DF0434">
      <w:pPr>
        <w:numPr>
          <w:ilvl w:val="0"/>
          <w:numId w:val="3"/>
        </w:numPr>
        <w:spacing w:line="256" w:lineRule="auto"/>
        <w:contextualSpacing/>
        <w:jc w:val="both"/>
        <w:rPr>
          <w:rFonts w:ascii="Times New Roman" w:eastAsia="Calibri" w:hAnsi="Times New Roman" w:cs="Times New Roman"/>
          <w:sz w:val="24"/>
          <w:szCs w:val="18"/>
        </w:rPr>
      </w:pPr>
      <w:r w:rsidRPr="00DF0434">
        <w:rPr>
          <w:rFonts w:ascii="Times New Roman" w:eastAsia="Calibri" w:hAnsi="Times New Roman" w:cs="Times New Roman"/>
          <w:sz w:val="24"/>
          <w:szCs w:val="18"/>
        </w:rPr>
        <w:lastRenderedPageBreak/>
        <w:t xml:space="preserve">Stratejik planlama, idarenin stratejik amaç ve hedeflerini ve bunlara ulaşmayı mümkün kılacak yöntemleri belirlemesini, bütçesini bu amaca yönelik hazırlamasını ve kaynak tahsisinde </w:t>
      </w:r>
      <w:proofErr w:type="spellStart"/>
      <w:r w:rsidRPr="00DF0434">
        <w:rPr>
          <w:rFonts w:ascii="Times New Roman" w:eastAsia="Calibri" w:hAnsi="Times New Roman" w:cs="Times New Roman"/>
          <w:sz w:val="24"/>
          <w:szCs w:val="18"/>
        </w:rPr>
        <w:t>önceliklendirmeyi</w:t>
      </w:r>
      <w:proofErr w:type="spellEnd"/>
      <w:r w:rsidRPr="00DF0434">
        <w:rPr>
          <w:rFonts w:ascii="Times New Roman" w:eastAsia="Calibri" w:hAnsi="Times New Roman" w:cs="Times New Roman"/>
          <w:sz w:val="24"/>
          <w:szCs w:val="18"/>
        </w:rPr>
        <w:t xml:space="preserve"> gerektirir.</w:t>
      </w:r>
    </w:p>
    <w:p w:rsidR="00DF0434" w:rsidRPr="00DF0434" w:rsidRDefault="00DF0434" w:rsidP="00DF0434">
      <w:pPr>
        <w:numPr>
          <w:ilvl w:val="0"/>
          <w:numId w:val="3"/>
        </w:numPr>
        <w:spacing w:line="256" w:lineRule="auto"/>
        <w:contextualSpacing/>
        <w:jc w:val="both"/>
        <w:rPr>
          <w:rFonts w:ascii="Times New Roman" w:eastAsia="Calibri" w:hAnsi="Times New Roman" w:cs="Times New Roman"/>
          <w:sz w:val="24"/>
          <w:szCs w:val="18"/>
        </w:rPr>
      </w:pPr>
      <w:r w:rsidRPr="00DF0434">
        <w:rPr>
          <w:rFonts w:ascii="Times New Roman" w:eastAsia="Calibri" w:hAnsi="Times New Roman" w:cs="Times New Roman"/>
          <w:b/>
          <w:sz w:val="24"/>
          <w:szCs w:val="18"/>
        </w:rPr>
        <w:t>STRATEJİK RİSKLER:</w:t>
      </w:r>
      <w:r w:rsidRPr="00DF0434">
        <w:rPr>
          <w:rFonts w:ascii="Times New Roman" w:eastAsia="Calibri" w:hAnsi="Times New Roman" w:cs="Times New Roman"/>
          <w:sz w:val="24"/>
          <w:szCs w:val="18"/>
        </w:rPr>
        <w:t xml:space="preserve">  İdarenin stratejik amaç ve hedef seçimlerinden dolayı maruz kalabileceği risklerdir. </w:t>
      </w:r>
      <w:proofErr w:type="gramStart"/>
      <w:r w:rsidRPr="00DF0434">
        <w:rPr>
          <w:rFonts w:ascii="Times New Roman" w:eastAsia="Calibri" w:hAnsi="Times New Roman" w:cs="Times New Roman"/>
          <w:sz w:val="24"/>
          <w:szCs w:val="18"/>
        </w:rPr>
        <w:t xml:space="preserve">Nükleer enerji yatırımına karar verilmesi durumunda kamuoyu tepkisinin ve baskısının artması sonucu itibar kayıplarının yaşanması, projenin yarım kalması, kamu kaynaklarının etkili, ekonomik ve verimli bir şekilde kullanılmaması - Üniversite bünyesinde yeni bir bölüm oluşturulmasına (yeni bir fakülte veya bölüm vb.) yönelik gerek duyulacak kaynağa (öğretim üyesi, bina, takım alımı vb. için) ulaşılamaması sonucu seçilen stratejinin hayata geçirilememesi </w:t>
      </w:r>
      <w:proofErr w:type="gramEnd"/>
    </w:p>
    <w:p w:rsidR="00DF0434" w:rsidRPr="00DF0434" w:rsidRDefault="00DF0434" w:rsidP="00DF0434">
      <w:pPr>
        <w:numPr>
          <w:ilvl w:val="0"/>
          <w:numId w:val="3"/>
        </w:numPr>
        <w:spacing w:line="256" w:lineRule="auto"/>
        <w:contextualSpacing/>
        <w:jc w:val="both"/>
        <w:rPr>
          <w:rFonts w:ascii="Times New Roman" w:eastAsia="Calibri" w:hAnsi="Times New Roman" w:cs="Times New Roman"/>
          <w:sz w:val="24"/>
          <w:szCs w:val="18"/>
        </w:rPr>
      </w:pPr>
      <w:r w:rsidRPr="00DF0434">
        <w:rPr>
          <w:rFonts w:ascii="Times New Roman" w:eastAsia="Calibri" w:hAnsi="Times New Roman" w:cs="Times New Roman"/>
          <w:b/>
          <w:sz w:val="24"/>
          <w:szCs w:val="18"/>
        </w:rPr>
        <w:t xml:space="preserve">OPERASYONEL RİSKLER: </w:t>
      </w:r>
      <w:r w:rsidRPr="00DF0434">
        <w:rPr>
          <w:rFonts w:ascii="Times New Roman" w:eastAsia="Calibri" w:hAnsi="Times New Roman" w:cs="Times New Roman"/>
          <w:sz w:val="24"/>
          <w:szCs w:val="18"/>
        </w:rPr>
        <w:t xml:space="preserve">İdarenin faaliyetlerinin mevzuata uygun, zamanında, etkili, ekonomik ve verimli bir şekilde yürütülmesini etkileyebilecek risklerdir. - Sağlık hizmetleri kapsamında kullanılan randevu sistemine yönelik yetersiz bilgi teknolojileri altyapısı nedeniyle aksaklıklar yaşanması ve vatandaşa sağlık hizmeti sunulamaması - İdarenin ilgili birimlerinden talep edilen finansal verilerin doğru şekilde ve zamanında alınamaması sonucu üst yönetime yönelik raporlamaların doğru şekilde gerçekleştirilememesi </w:t>
      </w:r>
    </w:p>
    <w:p w:rsidR="00DF0434" w:rsidRPr="00DF0434" w:rsidRDefault="00DF0434" w:rsidP="00DF0434">
      <w:pPr>
        <w:numPr>
          <w:ilvl w:val="0"/>
          <w:numId w:val="3"/>
        </w:numPr>
        <w:spacing w:line="256" w:lineRule="auto"/>
        <w:contextualSpacing/>
        <w:jc w:val="both"/>
        <w:rPr>
          <w:rFonts w:ascii="Times New Roman" w:eastAsia="Calibri" w:hAnsi="Times New Roman" w:cs="Times New Roman"/>
          <w:sz w:val="24"/>
          <w:szCs w:val="18"/>
        </w:rPr>
      </w:pPr>
      <w:r w:rsidRPr="00DF0434">
        <w:rPr>
          <w:rFonts w:ascii="Times New Roman" w:eastAsia="Calibri" w:hAnsi="Times New Roman" w:cs="Times New Roman"/>
          <w:b/>
          <w:sz w:val="24"/>
          <w:szCs w:val="18"/>
        </w:rPr>
        <w:t>FİNANSAL RİSKLER:</w:t>
      </w:r>
      <w:r w:rsidRPr="00DF0434">
        <w:rPr>
          <w:rFonts w:ascii="Times New Roman" w:eastAsia="Calibri" w:hAnsi="Times New Roman" w:cs="Times New Roman"/>
          <w:sz w:val="24"/>
          <w:szCs w:val="18"/>
        </w:rPr>
        <w:t xml:space="preserve"> İdarenin finansal yapısını ve finansal faaliyetlerini sürdürmek için ihtiyaç duyduğu kaynakları etkileyebilecek risklerdir. - İdarenin cari ve yatırım bütçelerinin yeterli analizler gerçekleştirilmeden yapılması sonucu kaynakların etkin kullanılamaması - İdare bütçesinin etkin takip edilmemesi sonucunda finansal yükümlülüklerin yerine getirilememesi </w:t>
      </w:r>
    </w:p>
    <w:p w:rsidR="00DF0434" w:rsidRPr="00DF0434" w:rsidRDefault="00DF0434" w:rsidP="00DF0434">
      <w:pPr>
        <w:numPr>
          <w:ilvl w:val="0"/>
          <w:numId w:val="3"/>
        </w:numPr>
        <w:spacing w:line="256" w:lineRule="auto"/>
        <w:contextualSpacing/>
        <w:jc w:val="both"/>
        <w:rPr>
          <w:rFonts w:ascii="Times New Roman" w:eastAsia="Calibri" w:hAnsi="Times New Roman" w:cs="Times New Roman"/>
          <w:sz w:val="24"/>
          <w:szCs w:val="18"/>
        </w:rPr>
      </w:pPr>
      <w:r w:rsidRPr="00DF0434">
        <w:rPr>
          <w:rFonts w:ascii="Times New Roman" w:eastAsia="Calibri" w:hAnsi="Times New Roman" w:cs="Times New Roman"/>
          <w:b/>
          <w:sz w:val="24"/>
          <w:szCs w:val="18"/>
        </w:rPr>
        <w:t>UYUM RİSKLERİ:</w:t>
      </w:r>
      <w:r w:rsidRPr="00DF0434">
        <w:rPr>
          <w:rFonts w:ascii="Times New Roman" w:eastAsia="Calibri" w:hAnsi="Times New Roman" w:cs="Times New Roman"/>
          <w:sz w:val="24"/>
          <w:szCs w:val="18"/>
        </w:rPr>
        <w:t xml:space="preserve"> İdarenin mevzuata, iç ve dış düzenlemelere uygun işlemler yapmasını etkileyebilecek risklerdir. - Veri güvenliğine yönelik politika ve </w:t>
      </w:r>
      <w:proofErr w:type="gramStart"/>
      <w:r w:rsidRPr="00DF0434">
        <w:rPr>
          <w:rFonts w:ascii="Times New Roman" w:eastAsia="Calibri" w:hAnsi="Times New Roman" w:cs="Times New Roman"/>
          <w:sz w:val="24"/>
          <w:szCs w:val="18"/>
        </w:rPr>
        <w:t>prosedürlerin</w:t>
      </w:r>
      <w:proofErr w:type="gramEnd"/>
      <w:r w:rsidRPr="00DF0434">
        <w:rPr>
          <w:rFonts w:ascii="Times New Roman" w:eastAsia="Calibri" w:hAnsi="Times New Roman" w:cs="Times New Roman"/>
          <w:sz w:val="24"/>
          <w:szCs w:val="18"/>
        </w:rPr>
        <w:t xml:space="preserve"> oluşturulmaması nedeniyle Kişisel Verilerin Korunması Kanunu’na uyumsuzluk sonucunda idarenin cezai yaptırıma maruz kalması - Doktora tezi onay sürecinde mevzuatla uyumlu olacak şekilde kontrollerin yapılmaması sonucu uygun olmayan tezlerin onaylanması</w:t>
      </w:r>
    </w:p>
    <w:p w:rsidR="00DF0434" w:rsidRPr="00DF0434" w:rsidRDefault="00DF0434" w:rsidP="00DF0434">
      <w:pPr>
        <w:numPr>
          <w:ilvl w:val="0"/>
          <w:numId w:val="3"/>
        </w:numPr>
        <w:spacing w:line="256" w:lineRule="auto"/>
        <w:contextualSpacing/>
        <w:jc w:val="both"/>
        <w:rPr>
          <w:rFonts w:ascii="Times New Roman" w:eastAsia="Calibri" w:hAnsi="Times New Roman" w:cs="Times New Roman"/>
          <w:sz w:val="24"/>
          <w:szCs w:val="18"/>
        </w:rPr>
      </w:pPr>
      <w:r w:rsidRPr="00DF0434">
        <w:rPr>
          <w:rFonts w:ascii="Times New Roman" w:eastAsia="Calibri" w:hAnsi="Times New Roman" w:cs="Times New Roman"/>
          <w:b/>
          <w:sz w:val="24"/>
          <w:szCs w:val="18"/>
        </w:rPr>
        <w:t>İTİBAR RİSKLER</w:t>
      </w:r>
      <w:r w:rsidRPr="00DF0434">
        <w:rPr>
          <w:rFonts w:ascii="Times New Roman" w:eastAsia="Calibri" w:hAnsi="Times New Roman" w:cs="Times New Roman"/>
          <w:sz w:val="24"/>
          <w:szCs w:val="18"/>
        </w:rPr>
        <w:t>İ</w:t>
      </w:r>
      <w:r w:rsidRPr="00DF0434">
        <w:rPr>
          <w:rFonts w:ascii="Times New Roman" w:eastAsia="Calibri" w:hAnsi="Times New Roman" w:cs="Times New Roman"/>
          <w:b/>
          <w:sz w:val="24"/>
          <w:szCs w:val="18"/>
        </w:rPr>
        <w:t>:</w:t>
      </w:r>
      <w:r w:rsidRPr="00DF0434">
        <w:rPr>
          <w:rFonts w:ascii="Times New Roman" w:eastAsia="Calibri" w:hAnsi="Times New Roman" w:cs="Times New Roman"/>
          <w:sz w:val="24"/>
          <w:szCs w:val="18"/>
        </w:rPr>
        <w:t xml:space="preserve"> İdareye duyulan güveni veya kamuoyundaki imajını etkileyebilecek risklerdir - Bir belediye için kritik öneme sahip bir projenin taahhüt edilen sürede tamamlanamaması sonucu belediye hizmetlerinin yeterliliğinin halk tarafından sorgulanması ve idarenin itibar kaybetmesi - Eğitim takvimine uyulmaması sonucu öğrencilerin alması gereken dersleri alamaması, eğitim kalitesinin düşmesi ve nitelikli öğrenci yetiştirilememesi </w:t>
      </w:r>
    </w:p>
    <w:p w:rsidR="00DF0434" w:rsidRPr="00DF0434" w:rsidRDefault="00DF0434" w:rsidP="00DF0434">
      <w:pPr>
        <w:numPr>
          <w:ilvl w:val="0"/>
          <w:numId w:val="3"/>
        </w:numPr>
        <w:spacing w:line="256" w:lineRule="auto"/>
        <w:contextualSpacing/>
        <w:jc w:val="both"/>
        <w:rPr>
          <w:rFonts w:ascii="Times New Roman" w:eastAsia="Calibri" w:hAnsi="Times New Roman" w:cs="Times New Roman"/>
          <w:sz w:val="24"/>
          <w:szCs w:val="18"/>
        </w:rPr>
      </w:pPr>
      <w:r w:rsidRPr="00DF0434">
        <w:rPr>
          <w:rFonts w:ascii="Times New Roman" w:eastAsia="Calibri" w:hAnsi="Times New Roman" w:cs="Times New Roman"/>
          <w:b/>
          <w:sz w:val="24"/>
          <w:szCs w:val="18"/>
        </w:rPr>
        <w:t xml:space="preserve">TEKNOLOJİK RİSKLER: </w:t>
      </w:r>
      <w:r w:rsidRPr="00DF0434">
        <w:rPr>
          <w:rFonts w:ascii="Times New Roman" w:eastAsia="Calibri" w:hAnsi="Times New Roman" w:cs="Times New Roman"/>
          <w:sz w:val="24"/>
          <w:szCs w:val="18"/>
        </w:rPr>
        <w:t xml:space="preserve">Teknolojik gelişmeler ve idarenin kullandığı teknolojilerden kaynaklanan risklerdir. İdare tarafından gerçekleştirilen bilgi teknolojileri altyapı yatırımının etkin kullanılamaması sebebi ile beklenen maliyet düşüşünü yaratmaması ve bunun sonucu kaynakların etkin kullanılamaması </w:t>
      </w:r>
    </w:p>
    <w:p w:rsidR="00DF0434" w:rsidRPr="00DF0434" w:rsidRDefault="00DF0434" w:rsidP="00DF0434">
      <w:pPr>
        <w:numPr>
          <w:ilvl w:val="0"/>
          <w:numId w:val="3"/>
        </w:numPr>
        <w:spacing w:line="256" w:lineRule="auto"/>
        <w:contextualSpacing/>
        <w:jc w:val="both"/>
        <w:rPr>
          <w:rFonts w:ascii="Times New Roman" w:eastAsia="Calibri" w:hAnsi="Times New Roman" w:cs="Times New Roman"/>
          <w:sz w:val="24"/>
          <w:szCs w:val="18"/>
        </w:rPr>
      </w:pPr>
      <w:r w:rsidRPr="00DF0434">
        <w:rPr>
          <w:rFonts w:ascii="Times New Roman" w:eastAsia="Calibri" w:hAnsi="Times New Roman" w:cs="Times New Roman"/>
          <w:b/>
          <w:sz w:val="24"/>
          <w:szCs w:val="18"/>
        </w:rPr>
        <w:t xml:space="preserve">PROJE RİSKLERİ: </w:t>
      </w:r>
      <w:r w:rsidRPr="00DF0434">
        <w:rPr>
          <w:rFonts w:ascii="Times New Roman" w:eastAsia="Calibri" w:hAnsi="Times New Roman" w:cs="Times New Roman"/>
          <w:sz w:val="24"/>
          <w:szCs w:val="18"/>
        </w:rPr>
        <w:t>İdarenin stratejik amaç ve hedeflerine ulaşmak üzere gerçekleştirmekte olduğu projelerle ilişkili olan risklerdir. -Proje bütçesinin etkili bir biçimde takip edilmemesi sonucunda finansal yükümlülüklerin yerine getirilememesi -Proje gerçekleşmelerinin etkili bir biçimde takip edilmemesi ile olası eksikliklerin zamanında tespit edilememesi sonucu proje hedefine ulaşılamaması</w:t>
      </w:r>
    </w:p>
    <w:p w:rsidR="00DF0434" w:rsidRPr="00DF0434" w:rsidRDefault="00DF0434" w:rsidP="00DF0434">
      <w:pPr>
        <w:numPr>
          <w:ilvl w:val="0"/>
          <w:numId w:val="3"/>
        </w:numPr>
        <w:spacing w:line="256" w:lineRule="auto"/>
        <w:contextualSpacing/>
        <w:jc w:val="both"/>
        <w:rPr>
          <w:rFonts w:ascii="Times New Roman" w:eastAsia="Calibri" w:hAnsi="Times New Roman" w:cs="Times New Roman"/>
          <w:sz w:val="24"/>
          <w:szCs w:val="18"/>
        </w:rPr>
      </w:pPr>
      <w:r w:rsidRPr="00DF0434">
        <w:rPr>
          <w:rFonts w:ascii="Times New Roman" w:eastAsia="Calibri" w:hAnsi="Times New Roman" w:cs="Times New Roman"/>
          <w:sz w:val="24"/>
          <w:szCs w:val="18"/>
        </w:rPr>
        <w:t>Risk yönetiminin kapsamı, stratejik amaç ve hedeflerle ilişkili riskler olduğundan, etkin bir stratejik planlama ve risk yönetimi için idare amaç ve hedeflerinin tam ve doğru olarak tanımlanması kritik öneme sahiptir.</w:t>
      </w:r>
    </w:p>
    <w:p w:rsidR="00870CBC" w:rsidRDefault="00870CBC">
      <w:bookmarkStart w:id="0" w:name="_GoBack"/>
      <w:bookmarkEnd w:id="0"/>
    </w:p>
    <w:sectPr w:rsidR="00870CBC" w:rsidSect="0036512F">
      <w:footerReference w:type="default" r:id="rId14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0C19" w:rsidRDefault="005C0C19" w:rsidP="00E0789E">
      <w:pPr>
        <w:spacing w:after="0" w:line="240" w:lineRule="auto"/>
      </w:pPr>
      <w:r>
        <w:separator/>
      </w:r>
    </w:p>
  </w:endnote>
  <w:endnote w:type="continuationSeparator" w:id="0">
    <w:p w:rsidR="005C0C19" w:rsidRDefault="005C0C19" w:rsidP="00E078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789E" w:rsidRDefault="00E0789E">
    <w:pPr>
      <w:pStyle w:val="AltBilgi"/>
    </w:pPr>
  </w:p>
  <w:p w:rsidR="00E0789E" w:rsidRDefault="00E0789E">
    <w:pPr>
      <w:pStyle w:val="AltBilgi"/>
    </w:pPr>
  </w:p>
  <w:p w:rsidR="00E0789E" w:rsidRDefault="00E0789E">
    <w:pPr>
      <w:pStyle w:val="AltBilgi"/>
    </w:pPr>
  </w:p>
  <w:p w:rsidR="00E0789E" w:rsidRDefault="00E0789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0C19" w:rsidRDefault="005C0C19" w:rsidP="00E0789E">
      <w:pPr>
        <w:spacing w:after="0" w:line="240" w:lineRule="auto"/>
      </w:pPr>
      <w:r>
        <w:separator/>
      </w:r>
    </w:p>
  </w:footnote>
  <w:footnote w:type="continuationSeparator" w:id="0">
    <w:p w:rsidR="005C0C19" w:rsidRDefault="005C0C19" w:rsidP="00E078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F608BE"/>
    <w:multiLevelType w:val="hybridMultilevel"/>
    <w:tmpl w:val="397CA954"/>
    <w:lvl w:ilvl="0" w:tplc="041F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4B900CEC"/>
    <w:multiLevelType w:val="hybridMultilevel"/>
    <w:tmpl w:val="D480D6B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259"/>
    <w:rsid w:val="00194E86"/>
    <w:rsid w:val="0036512F"/>
    <w:rsid w:val="004C10A7"/>
    <w:rsid w:val="005C0C19"/>
    <w:rsid w:val="00870CBC"/>
    <w:rsid w:val="00C21259"/>
    <w:rsid w:val="00C51A23"/>
    <w:rsid w:val="00DF0434"/>
    <w:rsid w:val="00E0607D"/>
    <w:rsid w:val="00E0789E"/>
    <w:rsid w:val="00FA1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52C994"/>
  <w15:chartTrackingRefBased/>
  <w15:docId w15:val="{0F5D493F-B2E8-4B8A-B535-04DD8D44B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Tablolar">
    <w:name w:val="Tablolar"/>
    <w:basedOn w:val="Normal"/>
    <w:link w:val="TablolarChar"/>
    <w:autoRedefine/>
    <w:qFormat/>
    <w:rsid w:val="00E0607D"/>
    <w:rPr>
      <w:rFonts w:ascii="Times New Roman" w:hAnsi="Times New Roman"/>
      <w:sz w:val="24"/>
    </w:rPr>
  </w:style>
  <w:style w:type="character" w:customStyle="1" w:styleId="TablolarChar">
    <w:name w:val="Tablolar Char"/>
    <w:basedOn w:val="VarsaylanParagrafYazTipi"/>
    <w:link w:val="Tablolar"/>
    <w:rsid w:val="00E0607D"/>
    <w:rPr>
      <w:rFonts w:ascii="Times New Roman" w:hAnsi="Times New Roman"/>
      <w:sz w:val="24"/>
    </w:rPr>
  </w:style>
  <w:style w:type="paragraph" w:styleId="stBilgi">
    <w:name w:val="header"/>
    <w:basedOn w:val="Normal"/>
    <w:link w:val="stBilgiChar"/>
    <w:uiPriority w:val="99"/>
    <w:unhideWhenUsed/>
    <w:rsid w:val="00E078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0789E"/>
  </w:style>
  <w:style w:type="paragraph" w:styleId="AltBilgi">
    <w:name w:val="footer"/>
    <w:basedOn w:val="Normal"/>
    <w:link w:val="AltBilgiChar"/>
    <w:uiPriority w:val="99"/>
    <w:unhideWhenUsed/>
    <w:rsid w:val="00E078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0789E"/>
  </w:style>
  <w:style w:type="paragraph" w:styleId="ListeParagraf">
    <w:name w:val="List Paragraph"/>
    <w:basedOn w:val="Normal"/>
    <w:uiPriority w:val="34"/>
    <w:qFormat/>
    <w:rsid w:val="00194E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657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565</Words>
  <Characters>3223</Characters>
  <Application>Microsoft Office Word</Application>
  <DocSecurity>0</DocSecurity>
  <Lines>26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karadeniz</dc:creator>
  <cp:keywords/>
  <dc:description/>
  <cp:lastModifiedBy>Ali karadeniz</cp:lastModifiedBy>
  <cp:revision>6</cp:revision>
  <dcterms:created xsi:type="dcterms:W3CDTF">2025-08-20T06:19:00Z</dcterms:created>
  <dcterms:modified xsi:type="dcterms:W3CDTF">2025-08-20T07:20:00Z</dcterms:modified>
</cp:coreProperties>
</file>