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DD0" w:rsidRDefault="00C92DD0">
      <w:pPr>
        <w:rPr>
          <w:rFonts w:ascii="Times New Roman" w:eastAsia="Times New Roman" w:hAnsi="Times New Roman" w:cs="Times New Roman"/>
          <w:b/>
          <w:color w:val="C0504D" w:themeColor="accent2"/>
          <w:sz w:val="28"/>
          <w:szCs w:val="28"/>
          <w:lang w:eastAsia="ar-SA"/>
        </w:rPr>
      </w:pPr>
      <w:r>
        <w:rPr>
          <w:b/>
          <w:color w:val="C0504D" w:themeColor="accent2"/>
          <w:sz w:val="28"/>
          <w:szCs w:val="28"/>
        </w:rPr>
        <w:br w:type="page"/>
      </w:r>
      <w:r>
        <w:rPr>
          <w:b/>
          <w:noProof/>
          <w:color w:val="C0504D" w:themeColor="accent2"/>
          <w:sz w:val="28"/>
          <w:szCs w:val="28"/>
          <w:lang w:eastAsia="tr-T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7560000" cy="10688400"/>
            <wp:effectExtent l="0" t="0" r="3175" b="0"/>
            <wp:wrapSquare wrapText="bothSides"/>
            <wp:docPr id="56" name="Resim 56" descr="D:\SAĞ ÜST\PSD\İÇ-KONTROL-STANDARTLARI-EYLEM-PL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AĞ ÜST\PSD\İÇ-KONTROL-STANDARTLARI-EYLEM-PLAN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000" cy="1068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2DD0" w:rsidRDefault="00C92DD0">
      <w:pPr>
        <w:rPr>
          <w:rFonts w:ascii="Times New Roman" w:eastAsia="Times New Roman" w:hAnsi="Times New Roman" w:cs="Times New Roman"/>
          <w:b/>
          <w:color w:val="C0504D" w:themeColor="accent2"/>
          <w:sz w:val="28"/>
          <w:szCs w:val="28"/>
          <w:lang w:eastAsia="ar-SA"/>
        </w:rPr>
      </w:pPr>
      <w:r>
        <w:rPr>
          <w:b/>
          <w:color w:val="C0504D" w:themeColor="accent2"/>
          <w:sz w:val="28"/>
          <w:szCs w:val="28"/>
        </w:rPr>
        <w:lastRenderedPageBreak/>
        <w:br w:type="page"/>
      </w:r>
    </w:p>
    <w:p w:rsidR="005A4BD0" w:rsidRDefault="005A4BD0" w:rsidP="00E5797E">
      <w:pPr>
        <w:pStyle w:val="GvdeMetni"/>
        <w:spacing w:before="120" w:after="120" w:line="360" w:lineRule="auto"/>
        <w:jc w:val="center"/>
        <w:rPr>
          <w:b/>
          <w:color w:val="C0504D" w:themeColor="accent2"/>
          <w:sz w:val="28"/>
          <w:szCs w:val="28"/>
        </w:rPr>
        <w:sectPr w:rsidR="005A4BD0" w:rsidSect="005A4BD0">
          <w:headerReference w:type="even" r:id="rId10"/>
          <w:footerReference w:type="even" r:id="rId11"/>
          <w:type w:val="continuous"/>
          <w:pgSz w:w="11906" w:h="16838"/>
          <w:pgMar w:top="720" w:right="720" w:bottom="720" w:left="720" w:header="708" w:footer="227" w:gutter="0"/>
          <w:cols w:space="708"/>
          <w:docGrid w:linePitch="360"/>
        </w:sectPr>
      </w:pPr>
    </w:p>
    <w:p w:rsidR="00E5797E" w:rsidRPr="00E5797E" w:rsidRDefault="00E5797E" w:rsidP="00E5797E">
      <w:pPr>
        <w:pStyle w:val="GvdeMetni"/>
        <w:spacing w:before="120" w:after="120" w:line="360" w:lineRule="auto"/>
        <w:jc w:val="center"/>
        <w:rPr>
          <w:b/>
          <w:color w:val="C0504D" w:themeColor="accent2"/>
          <w:sz w:val="28"/>
          <w:szCs w:val="28"/>
        </w:rPr>
      </w:pPr>
      <w:r w:rsidRPr="00E5797E">
        <w:rPr>
          <w:b/>
          <w:color w:val="C0504D" w:themeColor="accent2"/>
          <w:sz w:val="28"/>
          <w:szCs w:val="28"/>
        </w:rPr>
        <w:t>GİRİŞ</w:t>
      </w:r>
    </w:p>
    <w:p w:rsidR="00E5797E" w:rsidRPr="00E5797E" w:rsidRDefault="00E5797E" w:rsidP="00E5797E">
      <w:pPr>
        <w:tabs>
          <w:tab w:val="left" w:pos="284"/>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E5797E">
        <w:rPr>
          <w:rFonts w:ascii="Times New Roman" w:hAnsi="Times New Roman" w:cs="Times New Roman"/>
          <w:sz w:val="24"/>
          <w:szCs w:val="24"/>
        </w:rPr>
        <w:t>Bilindiği üzere; 5018 sayılı Kamu Mali Yönetimi ve Kontrol Kanunu ile kamu da mali yönetim ve kontrol sistemi bütünüyle değişmiş, uluslararası standartlara ve Avrupa Birliği Normlarına uygun hale getirilmesi amaçlanmış, kamu idarelerinde iç kontrol sistemlerinin kurulmasını ve bunun bir unsuru olarak da idarelerin yönetim sorumluluğu çerçevesinde iç kontrol faaliyet ve süreçlerinin tasarlanıp uygulanmasını öngörmüştür.</w:t>
      </w:r>
      <w:proofErr w:type="gramEnd"/>
    </w:p>
    <w:p w:rsidR="00E5797E" w:rsidRPr="00E5797E" w:rsidRDefault="00E5797E" w:rsidP="00E5797E">
      <w:pPr>
        <w:tabs>
          <w:tab w:val="left" w:pos="284"/>
        </w:tabs>
        <w:spacing w:before="100" w:beforeAutospacing="1" w:after="100" w:afterAutospacing="1" w:line="360" w:lineRule="auto"/>
        <w:jc w:val="both"/>
        <w:rPr>
          <w:rFonts w:ascii="Times New Roman" w:hAnsi="Times New Roman" w:cs="Times New Roman"/>
          <w:sz w:val="24"/>
          <w:szCs w:val="24"/>
        </w:rPr>
      </w:pPr>
      <w:r w:rsidRPr="00E5797E">
        <w:rPr>
          <w:rFonts w:ascii="Times New Roman" w:hAnsi="Times New Roman" w:cs="Times New Roman"/>
          <w:sz w:val="24"/>
          <w:szCs w:val="24"/>
        </w:rPr>
        <w:tab/>
      </w:r>
      <w:proofErr w:type="gramStart"/>
      <w:r w:rsidRPr="00E5797E">
        <w:rPr>
          <w:rFonts w:ascii="Times New Roman" w:hAnsi="Times New Roman" w:cs="Times New Roman"/>
          <w:sz w:val="24"/>
          <w:szCs w:val="24"/>
        </w:rPr>
        <w:t xml:space="preserve">Kamu İç Kontrol Standartları; anılan Kanunun 55 inci maddesinin ikinci fıkrası ve İç ve Ön Mali Kontrol Usul ve Esasları Hakkında Yönetmeliğin 5 inci maddesi gereği Maliye Bakanlığı tarafından </w:t>
      </w:r>
      <w:proofErr w:type="spellStart"/>
      <w:r w:rsidRPr="00E5797E">
        <w:rPr>
          <w:rFonts w:ascii="Times New Roman" w:hAnsi="Times New Roman" w:cs="Times New Roman"/>
          <w:sz w:val="24"/>
          <w:szCs w:val="24"/>
        </w:rPr>
        <w:t>Treadway</w:t>
      </w:r>
      <w:proofErr w:type="spellEnd"/>
      <w:r w:rsidRPr="00E5797E">
        <w:rPr>
          <w:rFonts w:ascii="Times New Roman" w:hAnsi="Times New Roman" w:cs="Times New Roman"/>
          <w:sz w:val="24"/>
          <w:szCs w:val="24"/>
        </w:rPr>
        <w:t xml:space="preserve"> Komisyonu Sponsor Örgütler Komitesi (COSO) modeli, Uluslararası Sayıştaylar Birliği (INTOSAI) Kamu Sektörü İç Kontrol Standartları Rehberi ve Avrupa Birliği İç Kontrol Standartları çerçevesinde belirlenmiş ve “Kamu İç Kontrol Standartları Tebliği” hazırlanarak, 26.12.2007 tarihli ve 26738 sayılı Resmi Gazetede yayımlanmıştır. </w:t>
      </w:r>
      <w:proofErr w:type="gramEnd"/>
      <w:r w:rsidRPr="00E5797E">
        <w:rPr>
          <w:rFonts w:ascii="Times New Roman" w:hAnsi="Times New Roman" w:cs="Times New Roman"/>
          <w:sz w:val="24"/>
          <w:szCs w:val="24"/>
        </w:rPr>
        <w:t>Söz konusu Tebliğde; Kamu idarelerinin, iç kontrol sistemlerinin Kamu İç Kontrol Standartlarına uyumunu sağlamak üzere; yapılması gereken çalışmaların belirlenmesi, bu çalışmalar için eylem planı oluşturulması, çalışmalarının yapılması gerektiği belirtilmiştir.</w:t>
      </w:r>
    </w:p>
    <w:p w:rsidR="00E5797E" w:rsidRPr="00E5797E" w:rsidRDefault="00E5797E" w:rsidP="00E5797E">
      <w:pPr>
        <w:tabs>
          <w:tab w:val="left" w:pos="284"/>
        </w:tabs>
        <w:spacing w:before="100" w:beforeAutospacing="1" w:after="100" w:afterAutospacing="1" w:line="360" w:lineRule="auto"/>
        <w:jc w:val="both"/>
        <w:rPr>
          <w:rFonts w:ascii="Times New Roman" w:hAnsi="Times New Roman" w:cs="Times New Roman"/>
          <w:sz w:val="24"/>
          <w:szCs w:val="24"/>
        </w:rPr>
      </w:pPr>
      <w:r w:rsidRPr="00E5797E">
        <w:rPr>
          <w:rFonts w:ascii="Times New Roman" w:hAnsi="Times New Roman" w:cs="Times New Roman"/>
          <w:sz w:val="24"/>
          <w:szCs w:val="24"/>
        </w:rPr>
        <w:tab/>
        <w:t xml:space="preserve">Bu çerçevede, kamu idareleri tarafından görev alanları çerçevesinde her türlü yöntem, süreç ve özellikli işlemlerle ilgili belirlenebilecek ayrıntılı standartlar, 5018 Sayılı Kanuna, ilgili diğer mevzuata ve kamu iç kontrol standartlarına uygun olmak ve idareye ilişkin özellikli süreçleri kapsamak zorundadır. İdarelerce gerek görülmesi halinde hazırlanabilecek İdare Ayrıntılı İç Kontrol Standartları, idarelerin yasal ve idari yapıları, personel ve mali durumları gibi her bir idarenin kendine özgü koşulları dikkate alınarak katılımcı yöntemlerle belirlenecek ve üst yönetici onayını izleyen on işgünü içinde Maliye Bakanlığına gönderilecektir. </w:t>
      </w:r>
    </w:p>
    <w:p w:rsidR="00E5797E" w:rsidRPr="00E5797E" w:rsidRDefault="00F915DC" w:rsidP="00E5797E">
      <w:pPr>
        <w:tabs>
          <w:tab w:val="left" w:pos="284"/>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sidR="00E5797E" w:rsidRPr="00E5797E">
        <w:rPr>
          <w:rFonts w:ascii="Times New Roman" w:hAnsi="Times New Roman" w:cs="Times New Roman"/>
          <w:sz w:val="24"/>
          <w:szCs w:val="24"/>
        </w:rPr>
        <w:t xml:space="preserve">Aşağıda,  iç kontrolün tanımı, özellikleri ve genel esasları, iç kontrol alanında Maliye Bakanlığı tarafından belirlenen standartlar ve iç kontrol sisteminin bileşenleri, iç kontrol sisteminde görevliler ve sorumluluklarına ilişkin genel değerlendirme yapılmakta, üniversitemizin iç kontrol sistemi bakımından mevcut durumu ve üniversitemizde kurulacak iç kontrol sistemi standartları ve eylem planı sunulmaktadır. </w:t>
      </w:r>
    </w:p>
    <w:p w:rsidR="00E5797E" w:rsidRDefault="00E5797E">
      <w:pPr>
        <w:rPr>
          <w:rFonts w:ascii="Times New Roman" w:eastAsia="Times New Roman" w:hAnsi="Times New Roman" w:cs="Times New Roman"/>
          <w:b/>
          <w:color w:val="E36C0A" w:themeColor="accent6" w:themeShade="BF"/>
          <w:sz w:val="24"/>
          <w:szCs w:val="24"/>
          <w:lang w:eastAsia="tr-TR"/>
        </w:rPr>
      </w:pPr>
      <w:r>
        <w:rPr>
          <w:rFonts w:ascii="Times New Roman" w:hAnsi="Times New Roman"/>
          <w:b/>
          <w:color w:val="E36C0A" w:themeColor="accent6" w:themeShade="BF"/>
          <w:sz w:val="24"/>
          <w:szCs w:val="24"/>
        </w:rPr>
        <w:br w:type="page"/>
      </w:r>
    </w:p>
    <w:p w:rsidR="00E5797E" w:rsidRPr="00E5797E" w:rsidRDefault="00E5797E" w:rsidP="00F915DC">
      <w:pPr>
        <w:pStyle w:val="ListeParagraf"/>
        <w:numPr>
          <w:ilvl w:val="0"/>
          <w:numId w:val="12"/>
        </w:numPr>
        <w:tabs>
          <w:tab w:val="left" w:pos="851"/>
        </w:tabs>
        <w:spacing w:after="0" w:line="240" w:lineRule="auto"/>
        <w:ind w:left="851" w:hanging="567"/>
        <w:jc w:val="both"/>
        <w:rPr>
          <w:rFonts w:ascii="Times New Roman" w:hAnsi="Times New Roman"/>
          <w:b/>
          <w:color w:val="E36C0A" w:themeColor="accent6" w:themeShade="BF"/>
          <w:sz w:val="24"/>
          <w:szCs w:val="24"/>
        </w:rPr>
      </w:pPr>
      <w:r w:rsidRPr="00E5797E">
        <w:rPr>
          <w:rFonts w:ascii="Times New Roman" w:hAnsi="Times New Roman"/>
          <w:b/>
          <w:color w:val="E36C0A" w:themeColor="accent6" w:themeShade="BF"/>
          <w:sz w:val="24"/>
          <w:szCs w:val="24"/>
        </w:rPr>
        <w:t>İç Kontrolün Tanımı</w:t>
      </w:r>
      <w:r w:rsidR="00F915DC">
        <w:rPr>
          <w:rFonts w:ascii="Times New Roman" w:hAnsi="Times New Roman"/>
          <w:b/>
          <w:color w:val="E36C0A" w:themeColor="accent6" w:themeShade="BF"/>
          <w:sz w:val="24"/>
          <w:szCs w:val="24"/>
        </w:rPr>
        <w:t>, Özellikleri ve Genel Esasları</w:t>
      </w:r>
    </w:p>
    <w:p w:rsidR="00E5797E" w:rsidRPr="00E5797E" w:rsidRDefault="00F915DC" w:rsidP="00E5797E">
      <w:pPr>
        <w:tabs>
          <w:tab w:val="left" w:pos="284"/>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5797E" w:rsidRPr="00E5797E">
        <w:rPr>
          <w:rFonts w:ascii="Times New Roman" w:hAnsi="Times New Roman" w:cs="Times New Roman"/>
          <w:sz w:val="24"/>
          <w:szCs w:val="24"/>
        </w:rPr>
        <w:t>5018 sayılı Kamu Mali Yönetim ve Kontrol Kanununun “İç Kontrol Sistemi” başlıklı beşinci kısmının 55–67 inci maddelerinde başlıklar itibariyle iç kontrolün tanımı ve amacı, kontrolün yapısı ve işleyişi, ön mali kontrol, mali hizmetler birimi (Strateji Geliştirme Daire Başkanlığı), muhasebe hizmeti ve muhasebe yetkilisinin yetki ve sorumlulukları, muhasebe yetkilisinin nitelikleri ve atanması, iç denetim, iç denetçinin görevleri, iç denetçilerin nitelikleri ve atanması, İç Denetim Koordinasyon Kurulu ve İç Denetim Koordinasyon Kurulunun görevleri hususlarına yer verilmiştir.</w:t>
      </w:r>
      <w:proofErr w:type="gramEnd"/>
    </w:p>
    <w:p w:rsidR="00E5797E" w:rsidRPr="00E5797E" w:rsidRDefault="00F915DC" w:rsidP="00E5797E">
      <w:pPr>
        <w:tabs>
          <w:tab w:val="left" w:pos="284"/>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5797E" w:rsidRPr="00E5797E">
        <w:rPr>
          <w:rFonts w:ascii="Times New Roman" w:hAnsi="Times New Roman" w:cs="Times New Roman"/>
          <w:sz w:val="24"/>
          <w:szCs w:val="24"/>
        </w:rPr>
        <w:t>Kanunun 55 inci maddesinde iç kontrol; "İdarenin amaçlarına, belirlenmiş politikalara ve mevzuata uygun olarak faaliyetlerin etkili, ekonomik ve verimli bir şekilde yürütülmesini, varlık ve kaynakların korunmasını, muhasebe kayıtlarının doğru ve tam olarak tutulmasını, mali bilgi ve yönetim bilgisinin zamanında ve güvenilir olarak üretilmesini sağlamak üzere idare tarafından oluşturulan organizasyon, yöntem ve süreçle iç denetimi kapsayan mali ve diğer kontroller bütünü" olarak tanımlanarak, mali yönetim ve iç kontrol süreçlerine ilişkin standartlar ve yöntemlerin Maliye Bakanlığınca, iç denetime ilişkin standartlar ve yöntemlerin ise İç Denetim Koordinasyon Kurulu tarafından belirlenip, geliştirileceği ve uyumlaştırılacağı ifade edilmiştir.</w:t>
      </w:r>
      <w:proofErr w:type="gramEnd"/>
    </w:p>
    <w:p w:rsidR="00E5797E" w:rsidRPr="00E5797E" w:rsidRDefault="00F915DC" w:rsidP="00F915DC">
      <w:pPr>
        <w:tabs>
          <w:tab w:val="left" w:pos="284"/>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sidR="00E5797E" w:rsidRPr="00E5797E">
        <w:rPr>
          <w:rFonts w:ascii="Times New Roman" w:hAnsi="Times New Roman" w:cs="Times New Roman"/>
          <w:sz w:val="24"/>
          <w:szCs w:val="24"/>
        </w:rPr>
        <w:t xml:space="preserve">Kanunun 56 </w:t>
      </w:r>
      <w:proofErr w:type="spellStart"/>
      <w:r w:rsidR="00E5797E" w:rsidRPr="00E5797E">
        <w:rPr>
          <w:rFonts w:ascii="Times New Roman" w:hAnsi="Times New Roman" w:cs="Times New Roman"/>
          <w:sz w:val="24"/>
          <w:szCs w:val="24"/>
        </w:rPr>
        <w:t>ncı</w:t>
      </w:r>
      <w:proofErr w:type="spellEnd"/>
      <w:r w:rsidR="00E5797E" w:rsidRPr="00E5797E">
        <w:rPr>
          <w:rFonts w:ascii="Times New Roman" w:hAnsi="Times New Roman" w:cs="Times New Roman"/>
          <w:sz w:val="24"/>
          <w:szCs w:val="24"/>
        </w:rPr>
        <w:t xml:space="preserve"> maddesinde iç kontrolün amaçları;</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Kamu gelir, gider, varlık ve yükümlülüklerinin etkili, ekonomik ve verimli bir şekilde yönetilmesini,</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Kamu idarelerinin kanunlara ve diğer düzenlemelere uygun olarak faaliyet göstermesini,</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Her türlü mali karar ve işlemlerde usulsüzlük ve yolsuzluğun önlenmesini,</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Karar oluşturmak ve izlemek için düzenli, zamanında ve güvenilir rapor ve bilgi edinilmesini,</w:t>
      </w:r>
    </w:p>
    <w:p w:rsid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Varlıkların kötüye kullanılması ve israfını önlemek ve kayıplara karşı korunmasını, sağlamak olarak belirlenmiştir.</w:t>
      </w:r>
    </w:p>
    <w:p w:rsidR="00E5797E" w:rsidRPr="00E5797E" w:rsidRDefault="00F915DC" w:rsidP="00F915DC">
      <w:pPr>
        <w:tabs>
          <w:tab w:val="left" w:pos="284"/>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sidR="00E5797E" w:rsidRPr="00E5797E">
        <w:rPr>
          <w:rFonts w:ascii="Times New Roman" w:hAnsi="Times New Roman" w:cs="Times New Roman"/>
          <w:sz w:val="24"/>
          <w:szCs w:val="24"/>
        </w:rPr>
        <w:t xml:space="preserve">Kanunun 57 inci maddesinde ise, kamu idarelerinin mali yönetim ve kontrol sistemlerinin harcama birimleri, muhasebe ve mali hizmetler ile ön mali kontrol ve iç denetimden oluştuğu belirtilmiş, yeterli ve etkili bir kontrol sisteminin oluşturulabilmesi için; </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 xml:space="preserve">Mesleki değerlere ve dürüst yönetim anlayışına sahip olunması, </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Mali yetki ve sorumlulukların bilgili ve yeterli yöneticilerle personele verilmesi,</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 xml:space="preserve">Belirlenmiş standartlara uyulmasının sağlanması, </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 xml:space="preserve">Mevzuata aykırı faaliyetlerin önlenmesi, </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 xml:space="preserve">Kapsamlı bir yönetim anlayışı ile uygun bir çalışma ortamının ve saydamlığın sağlanması, </w:t>
      </w:r>
    </w:p>
    <w:p w:rsidR="00E5797E" w:rsidRPr="00E5797E" w:rsidRDefault="00E5797E" w:rsidP="00E5797E">
      <w:pPr>
        <w:spacing w:before="120" w:after="120" w:line="360" w:lineRule="auto"/>
        <w:jc w:val="both"/>
        <w:rPr>
          <w:rFonts w:ascii="Times New Roman" w:hAnsi="Times New Roman" w:cs="Times New Roman"/>
          <w:sz w:val="24"/>
          <w:szCs w:val="24"/>
        </w:rPr>
      </w:pPr>
      <w:proofErr w:type="gramStart"/>
      <w:r w:rsidRPr="00E5797E">
        <w:rPr>
          <w:rFonts w:ascii="Times New Roman" w:hAnsi="Times New Roman" w:cs="Times New Roman"/>
          <w:sz w:val="24"/>
          <w:szCs w:val="24"/>
        </w:rPr>
        <w:t>bakımından</w:t>
      </w:r>
      <w:proofErr w:type="gramEnd"/>
      <w:r w:rsidRPr="00E5797E">
        <w:rPr>
          <w:rFonts w:ascii="Times New Roman" w:hAnsi="Times New Roman" w:cs="Times New Roman"/>
          <w:sz w:val="24"/>
          <w:szCs w:val="24"/>
        </w:rPr>
        <w:t xml:space="preserve"> ilgili idarelerin üst yöneticileri ile diğer yöneticileri tarafından görev, yetki ve sorumluluklar göz önünde bulundurulmak suretiyle gerekli önlemlerin alınması öngörülmüştür.</w:t>
      </w:r>
    </w:p>
    <w:p w:rsidR="00E5797E" w:rsidRPr="00E5797E" w:rsidRDefault="00F915DC" w:rsidP="00F915DC">
      <w:pPr>
        <w:tabs>
          <w:tab w:val="left" w:pos="284"/>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sidR="00E5797E" w:rsidRPr="00E5797E">
        <w:rPr>
          <w:rFonts w:ascii="Times New Roman" w:hAnsi="Times New Roman" w:cs="Times New Roman"/>
          <w:sz w:val="24"/>
          <w:szCs w:val="24"/>
        </w:rPr>
        <w:t xml:space="preserve">Diğer taraftan; 5018 sayılı Kamu Mali Yönetimi ve Kontrol Kanununun 55, 56, 57 ve 58 inci maddelerine dayanılarak hazırlanan </w:t>
      </w:r>
      <w:r w:rsidR="00E5797E" w:rsidRPr="00F915DC">
        <w:rPr>
          <w:rFonts w:ascii="Times New Roman" w:hAnsi="Times New Roman" w:cs="Times New Roman"/>
          <w:sz w:val="24"/>
          <w:szCs w:val="24"/>
        </w:rPr>
        <w:t>“</w:t>
      </w:r>
      <w:r w:rsidR="00E5797E" w:rsidRPr="00E5797E">
        <w:rPr>
          <w:rFonts w:ascii="Times New Roman" w:hAnsi="Times New Roman" w:cs="Times New Roman"/>
          <w:sz w:val="24"/>
          <w:szCs w:val="24"/>
        </w:rPr>
        <w:t>İ</w:t>
      </w:r>
      <w:r w:rsidR="00E5797E" w:rsidRPr="00F915DC">
        <w:rPr>
          <w:rFonts w:ascii="Times New Roman" w:hAnsi="Times New Roman" w:cs="Times New Roman"/>
          <w:sz w:val="24"/>
          <w:szCs w:val="24"/>
        </w:rPr>
        <w:t xml:space="preserve">ç Kontrol ve Ön Mali Kontrole İlişkin Usul ve Esaslar” </w:t>
      </w:r>
      <w:r w:rsidR="00E5797E" w:rsidRPr="00E5797E">
        <w:rPr>
          <w:rFonts w:ascii="Times New Roman" w:hAnsi="Times New Roman" w:cs="Times New Roman"/>
          <w:sz w:val="24"/>
          <w:szCs w:val="24"/>
        </w:rPr>
        <w:t xml:space="preserve">31.12.2005 tarihli ve 26040 sayılı 3 üncü mükerrer Resmi Gazetede yayımlanmıştır. </w:t>
      </w:r>
      <w:proofErr w:type="gramStart"/>
      <w:r w:rsidR="00E5797E" w:rsidRPr="00E5797E">
        <w:rPr>
          <w:rFonts w:ascii="Times New Roman" w:hAnsi="Times New Roman" w:cs="Times New Roman"/>
          <w:sz w:val="24"/>
          <w:szCs w:val="24"/>
        </w:rPr>
        <w:t xml:space="preserve">Yönetmeliğin "İç Kontrol Standartları" başlıklı 5 inci maddesinde, iç kontrol standartlarının, merkezi uyumlaştırma görevi çerçevesinde Maliye Bakanlığı tarafından belirlenip yayımlanacağı, kamu idarelerinin mali ve mali olmayan tüm işlemlerinde bu standartlara uymakla ve gereğini yerine getirmekle yükümlü bulunduğu, Kanuna ve iç kontrol standartlarına aykırı olmamak koşuluyla, idarelerce görev alanları çerçevesinde her türlü yöntem, süreç ve özellikli işlemlere ilişkin standartlar belirlenebileceği belirtilmiştir. </w:t>
      </w:r>
      <w:proofErr w:type="gramEnd"/>
      <w:r w:rsidR="00E5797E" w:rsidRPr="00E5797E">
        <w:rPr>
          <w:rFonts w:ascii="Times New Roman" w:hAnsi="Times New Roman" w:cs="Times New Roman"/>
          <w:sz w:val="24"/>
          <w:szCs w:val="24"/>
        </w:rPr>
        <w:t xml:space="preserve">Yönetmeliğin 7 </w:t>
      </w:r>
      <w:proofErr w:type="spellStart"/>
      <w:r w:rsidR="00E5797E" w:rsidRPr="00E5797E">
        <w:rPr>
          <w:rFonts w:ascii="Times New Roman" w:hAnsi="Times New Roman" w:cs="Times New Roman"/>
          <w:sz w:val="24"/>
          <w:szCs w:val="24"/>
        </w:rPr>
        <w:t>nci</w:t>
      </w:r>
      <w:proofErr w:type="spellEnd"/>
      <w:r w:rsidR="00E5797E" w:rsidRPr="00E5797E">
        <w:rPr>
          <w:rFonts w:ascii="Times New Roman" w:hAnsi="Times New Roman" w:cs="Times New Roman"/>
          <w:sz w:val="24"/>
          <w:szCs w:val="24"/>
        </w:rPr>
        <w:t xml:space="preserve"> maddesinde ise iç kontrolün unsurları ve genel koşulları aşağıda belirtildiği gibi yer almıştır. </w:t>
      </w:r>
    </w:p>
    <w:p w:rsidR="00F915DC" w:rsidRPr="00F915DC" w:rsidRDefault="00E5797E" w:rsidP="00F915DC">
      <w:pPr>
        <w:pStyle w:val="ListeParagraf"/>
        <w:numPr>
          <w:ilvl w:val="0"/>
          <w:numId w:val="13"/>
        </w:numPr>
        <w:autoSpaceDE w:val="0"/>
        <w:autoSpaceDN w:val="0"/>
        <w:adjustRightInd w:val="0"/>
        <w:spacing w:before="120" w:after="120" w:line="360" w:lineRule="auto"/>
        <w:ind w:left="567" w:hanging="283"/>
        <w:jc w:val="both"/>
        <w:rPr>
          <w:rFonts w:ascii="Times New Roman" w:hAnsi="Times New Roman"/>
          <w:sz w:val="24"/>
          <w:szCs w:val="24"/>
        </w:rPr>
      </w:pPr>
      <w:r w:rsidRPr="00F915DC">
        <w:rPr>
          <w:rFonts w:ascii="Times New Roman" w:hAnsi="Times New Roman"/>
          <w:b/>
          <w:bCs/>
          <w:color w:val="943634" w:themeColor="accent2" w:themeShade="BF"/>
          <w:sz w:val="24"/>
          <w:szCs w:val="24"/>
        </w:rPr>
        <w:t>K</w:t>
      </w:r>
      <w:r w:rsidR="00F915DC">
        <w:rPr>
          <w:rFonts w:ascii="Times New Roman" w:hAnsi="Times New Roman"/>
          <w:b/>
          <w:bCs/>
          <w:color w:val="943634" w:themeColor="accent2" w:themeShade="BF"/>
          <w:sz w:val="24"/>
          <w:szCs w:val="24"/>
        </w:rPr>
        <w:t>ontrol ortamı</w:t>
      </w:r>
    </w:p>
    <w:p w:rsidR="00E5797E"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İdarenin yöneticileri ve çalışanlarının iç kontrole olumlu bir bakış sağlaması, etik değerlere ve dürüst bir yönetim anlayışına sahip olması esastır. Performans esaslı yönetim anlayışı çerçevesinde görev, yetki ve sorumlulukların uzmanlığa önem verilerek bilgili ve yeterli kişilere verilmesi ve personelin performansının değerlendirilmesi sağlanır. İdarenin organizasyon yapısı ile personelin görev, yetki ve sorumlulukla</w:t>
      </w:r>
      <w:r w:rsidR="00F915DC" w:rsidRPr="00F915DC">
        <w:rPr>
          <w:rFonts w:ascii="Times New Roman" w:hAnsi="Times New Roman"/>
          <w:sz w:val="24"/>
          <w:szCs w:val="24"/>
        </w:rPr>
        <w:t>rı açık bir şekilde belirlenir.</w:t>
      </w:r>
    </w:p>
    <w:p w:rsidR="00F915DC" w:rsidRPr="00F915DC" w:rsidRDefault="00F915DC" w:rsidP="00F915DC">
      <w:pPr>
        <w:pStyle w:val="ListeParagraf"/>
        <w:autoSpaceDE w:val="0"/>
        <w:autoSpaceDN w:val="0"/>
        <w:adjustRightInd w:val="0"/>
        <w:spacing w:before="120" w:after="120" w:line="360" w:lineRule="auto"/>
        <w:jc w:val="both"/>
        <w:rPr>
          <w:rFonts w:ascii="Times New Roman" w:hAnsi="Times New Roman"/>
          <w:sz w:val="24"/>
          <w:szCs w:val="24"/>
        </w:rPr>
      </w:pPr>
    </w:p>
    <w:p w:rsidR="00F915DC" w:rsidRPr="00F915DC" w:rsidRDefault="00E5797E" w:rsidP="00F915DC">
      <w:pPr>
        <w:pStyle w:val="ListeParagraf"/>
        <w:numPr>
          <w:ilvl w:val="0"/>
          <w:numId w:val="13"/>
        </w:numPr>
        <w:autoSpaceDE w:val="0"/>
        <w:autoSpaceDN w:val="0"/>
        <w:adjustRightInd w:val="0"/>
        <w:spacing w:before="120" w:after="120" w:line="360" w:lineRule="auto"/>
        <w:ind w:left="567" w:hanging="283"/>
        <w:jc w:val="both"/>
        <w:rPr>
          <w:rFonts w:ascii="Times New Roman" w:hAnsi="Times New Roman"/>
          <w:b/>
          <w:bCs/>
          <w:color w:val="943634" w:themeColor="accent2" w:themeShade="BF"/>
          <w:sz w:val="24"/>
          <w:szCs w:val="24"/>
        </w:rPr>
      </w:pPr>
      <w:r w:rsidRPr="00F915DC">
        <w:rPr>
          <w:rFonts w:ascii="Times New Roman" w:hAnsi="Times New Roman"/>
          <w:b/>
          <w:bCs/>
          <w:color w:val="943634" w:themeColor="accent2" w:themeShade="BF"/>
          <w:sz w:val="24"/>
          <w:szCs w:val="24"/>
        </w:rPr>
        <w:t>Risk değerlendirmesi</w:t>
      </w:r>
    </w:p>
    <w:p w:rsidR="00F915DC"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 xml:space="preserve">Risk değerlendirmesi, mevcut koşullarda meydana gelen değişiklikler dikkate alınarak gerçekleştirilen ve süreklilik arz eden bir faaliyettir. İdare, stratejik planında ve performans programında belirlenen amaç ve hedeflerine ulaşmak için iç ve dış nedenlerden kaynaklanan riskleri değerlendirir. </w:t>
      </w:r>
    </w:p>
    <w:p w:rsidR="00F915DC" w:rsidRDefault="00F915DC" w:rsidP="00F915DC">
      <w:pPr>
        <w:pStyle w:val="ListeParagraf"/>
        <w:autoSpaceDE w:val="0"/>
        <w:autoSpaceDN w:val="0"/>
        <w:adjustRightInd w:val="0"/>
        <w:spacing w:before="120" w:after="120" w:line="360" w:lineRule="auto"/>
        <w:jc w:val="both"/>
        <w:rPr>
          <w:rFonts w:ascii="Times New Roman" w:hAnsi="Times New Roman"/>
          <w:sz w:val="24"/>
          <w:szCs w:val="24"/>
        </w:rPr>
      </w:pPr>
    </w:p>
    <w:p w:rsidR="00F915DC" w:rsidRPr="00F915DC" w:rsidRDefault="00E5797E" w:rsidP="00F915DC">
      <w:pPr>
        <w:pStyle w:val="ListeParagraf"/>
        <w:numPr>
          <w:ilvl w:val="0"/>
          <w:numId w:val="13"/>
        </w:numPr>
        <w:autoSpaceDE w:val="0"/>
        <w:autoSpaceDN w:val="0"/>
        <w:adjustRightInd w:val="0"/>
        <w:spacing w:before="120" w:after="120" w:line="360" w:lineRule="auto"/>
        <w:ind w:left="567" w:hanging="283"/>
        <w:jc w:val="both"/>
        <w:rPr>
          <w:rFonts w:ascii="Times New Roman" w:hAnsi="Times New Roman"/>
          <w:b/>
          <w:bCs/>
          <w:color w:val="943634" w:themeColor="accent2" w:themeShade="BF"/>
          <w:sz w:val="24"/>
          <w:szCs w:val="24"/>
        </w:rPr>
      </w:pPr>
      <w:r w:rsidRPr="00F915DC">
        <w:rPr>
          <w:rFonts w:ascii="Times New Roman" w:hAnsi="Times New Roman"/>
          <w:b/>
          <w:bCs/>
          <w:color w:val="943634" w:themeColor="accent2" w:themeShade="BF"/>
          <w:sz w:val="24"/>
          <w:szCs w:val="24"/>
        </w:rPr>
        <w:t>Kontrol faaliyetleri</w:t>
      </w:r>
    </w:p>
    <w:p w:rsidR="00F915DC"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 xml:space="preserve">Önleyici, tespit edici ve düzeltici her türlü kontrol faaliyeti belirlenir ve uygulanır. </w:t>
      </w:r>
    </w:p>
    <w:p w:rsidR="00F915DC" w:rsidRDefault="00F915DC" w:rsidP="00F915DC">
      <w:pPr>
        <w:pStyle w:val="ListeParagraf"/>
        <w:autoSpaceDE w:val="0"/>
        <w:autoSpaceDN w:val="0"/>
        <w:adjustRightInd w:val="0"/>
        <w:spacing w:before="120" w:after="120" w:line="360" w:lineRule="auto"/>
        <w:jc w:val="both"/>
        <w:rPr>
          <w:rFonts w:ascii="Times New Roman" w:hAnsi="Times New Roman"/>
          <w:sz w:val="24"/>
          <w:szCs w:val="24"/>
        </w:rPr>
      </w:pPr>
    </w:p>
    <w:p w:rsidR="00F915DC" w:rsidRPr="00F915DC" w:rsidRDefault="00E5797E" w:rsidP="00F915DC">
      <w:pPr>
        <w:pStyle w:val="ListeParagraf"/>
        <w:numPr>
          <w:ilvl w:val="0"/>
          <w:numId w:val="13"/>
        </w:numPr>
        <w:autoSpaceDE w:val="0"/>
        <w:autoSpaceDN w:val="0"/>
        <w:adjustRightInd w:val="0"/>
        <w:spacing w:before="120" w:after="120" w:line="360" w:lineRule="auto"/>
        <w:ind w:left="567" w:hanging="283"/>
        <w:jc w:val="both"/>
        <w:rPr>
          <w:rFonts w:ascii="Times New Roman" w:hAnsi="Times New Roman"/>
          <w:b/>
          <w:bCs/>
          <w:color w:val="943634" w:themeColor="accent2" w:themeShade="BF"/>
          <w:sz w:val="24"/>
          <w:szCs w:val="24"/>
        </w:rPr>
      </w:pPr>
      <w:r w:rsidRPr="00F915DC">
        <w:rPr>
          <w:rFonts w:ascii="Times New Roman" w:hAnsi="Times New Roman"/>
          <w:b/>
          <w:bCs/>
          <w:color w:val="943634" w:themeColor="accent2" w:themeShade="BF"/>
          <w:sz w:val="24"/>
          <w:szCs w:val="24"/>
        </w:rPr>
        <w:t>Bilgi ve iletişim</w:t>
      </w:r>
    </w:p>
    <w:p w:rsidR="00F915DC"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 xml:space="preserve">İdarenin ihtiyaç duyacağı her türlü bilgi uygun bir şekilde kaydedilir, tasnif edilir ve ilgililerin iç kontrol ile diğer sorumluluklarını yerine getirebilecekleri bir şekilde ve sürede iletilir. </w:t>
      </w:r>
    </w:p>
    <w:p w:rsidR="00F915DC" w:rsidRDefault="00F915DC" w:rsidP="00F915DC">
      <w:pPr>
        <w:pStyle w:val="ListeParagraf"/>
        <w:autoSpaceDE w:val="0"/>
        <w:autoSpaceDN w:val="0"/>
        <w:adjustRightInd w:val="0"/>
        <w:spacing w:before="120" w:after="120" w:line="360" w:lineRule="auto"/>
        <w:jc w:val="both"/>
        <w:rPr>
          <w:rFonts w:ascii="Times New Roman" w:hAnsi="Times New Roman"/>
          <w:sz w:val="24"/>
          <w:szCs w:val="24"/>
        </w:rPr>
      </w:pPr>
    </w:p>
    <w:p w:rsidR="00F915DC" w:rsidRPr="00F915DC" w:rsidRDefault="00E5797E" w:rsidP="00F915DC">
      <w:pPr>
        <w:pStyle w:val="ListeParagraf"/>
        <w:numPr>
          <w:ilvl w:val="0"/>
          <w:numId w:val="13"/>
        </w:numPr>
        <w:autoSpaceDE w:val="0"/>
        <w:autoSpaceDN w:val="0"/>
        <w:adjustRightInd w:val="0"/>
        <w:spacing w:before="120" w:after="120" w:line="360" w:lineRule="auto"/>
        <w:ind w:left="567" w:hanging="283"/>
        <w:jc w:val="both"/>
        <w:rPr>
          <w:rFonts w:ascii="Times New Roman" w:hAnsi="Times New Roman"/>
          <w:b/>
          <w:bCs/>
          <w:color w:val="943634" w:themeColor="accent2" w:themeShade="BF"/>
          <w:sz w:val="24"/>
          <w:szCs w:val="24"/>
        </w:rPr>
      </w:pPr>
      <w:r w:rsidRPr="00F915DC">
        <w:rPr>
          <w:rFonts w:ascii="Times New Roman" w:hAnsi="Times New Roman"/>
          <w:b/>
          <w:bCs/>
          <w:color w:val="943634" w:themeColor="accent2" w:themeShade="BF"/>
          <w:sz w:val="24"/>
          <w:szCs w:val="24"/>
        </w:rPr>
        <w:t>İzleme</w:t>
      </w:r>
    </w:p>
    <w:p w:rsidR="00E5797E"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 xml:space="preserve">İç kontrol sistem ve faaliyetleri sürekli izlenir, gözden geçirilir ve değerlendirilir. </w:t>
      </w:r>
    </w:p>
    <w:p w:rsidR="00E5797E" w:rsidRPr="00E5797E" w:rsidRDefault="00F915DC" w:rsidP="00F915DC">
      <w:pPr>
        <w:tabs>
          <w:tab w:val="left" w:pos="284"/>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sidR="00E5797E" w:rsidRPr="00E5797E">
        <w:rPr>
          <w:rFonts w:ascii="Times New Roman" w:hAnsi="Times New Roman" w:cs="Times New Roman"/>
          <w:sz w:val="24"/>
          <w:szCs w:val="24"/>
        </w:rPr>
        <w:t>5018 sayılı Kanunun yukarıdaki hükümleri ve iç kontrole ilişkin uluslararası standartlardan temel bir çerçeve belge olan COSO raporu bağlamında iç kontrol;</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Bir amaç değil, idareyi hedeflerine ulaştırmak amacıyla kullanılan bir yönetim aracıdır.</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Sadece form, belge ve el kitabı seklindeki çalışmalar değil, teşkilatı, personeli ve yönetim tarzını da içeren, süreklilik arz eden ve sistematik bir nitelik taşıyan uygulamalar bütünüdür.</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Süreçler içerisinde yerleşiktir ve süreçlerde rol alan görevlilerce uygulanır.</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 xml:space="preserve">Bir olay değil, sürekli ve sistematik bir nitelik taşır. </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Bir yönetim aracı olarak risk esaslıdır.</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 xml:space="preserve">Makul bir güvence sağlar. </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Bu durumda; Üniversitemizde kurulacak bir iç kontrol sisteminden beklenilen katma değerin oluşturulabilmesi için gerek uluslararası standart ve uygulamalar gerekse konuya ilişkin yasal ve idari düzenlemeler uyarınca iç kontrolün;</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proofErr w:type="gramStart"/>
      <w:r w:rsidRPr="00E5797E">
        <w:rPr>
          <w:rFonts w:ascii="Times New Roman" w:hAnsi="Times New Roman" w:cs="Times New Roman"/>
          <w:sz w:val="24"/>
          <w:szCs w:val="24"/>
        </w:rPr>
        <w:t>Yalnızca mali kontrolü kapsamadığının, mali kontrol ile birlikte Üniversitemiz tarafından oluşturulan organizasyon, yöntem ve süreçler ile birlikte diğer kontrolleri de kapsadığının; Üniversitemizin mali olsun ya da olmasın tüm faaliyet ve işlemlerini kapsadığının, bu noktada iç kontrolün belli mali işlemler üzerinde gerçekleştirilen ön mali kontrole indirgenmemesi gerektiğinin, ön mali kontrolü de içine alacak şekilde geniş kapsamlı faaliyet ve süreçlerin tamamını kapsadığının,</w:t>
      </w:r>
      <w:proofErr w:type="gramEnd"/>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Amaç değil amaca giden yol olduğunun, sadece kitapçık ve formlardan değil,  Üniversitemizin her seviyesinde görev yapan kişilerden oluştuğunun,</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Makul ancak kesin olmayan güvence verdiğinin,</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Süreçlere ilave olarak yapılan işler şeklinde algılanmamasının, aksine iç kontrolün süreçlerin bir parçası olarak ele alınması gerektiğinin,</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Etkili bir şekilde kurulmasının ancak üniversitemiz çalışanlarının sorumluluklarını ve yetkilerini anladıkları ve etik davranmayı üstlendikleri zaman mümkün olabileceğinin,</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 xml:space="preserve">Sadece kontrol faaliyetlerini değil, karar alınmasından işin sonuçlandırılmasına kadar geçen süreçte izlenen tüm </w:t>
      </w:r>
      <w:proofErr w:type="gramStart"/>
      <w:r w:rsidRPr="00E5797E">
        <w:rPr>
          <w:rFonts w:ascii="Times New Roman" w:hAnsi="Times New Roman" w:cs="Times New Roman"/>
          <w:sz w:val="24"/>
          <w:szCs w:val="24"/>
        </w:rPr>
        <w:t>prosedürleri</w:t>
      </w:r>
      <w:proofErr w:type="gramEnd"/>
      <w:r w:rsidRPr="00E5797E">
        <w:rPr>
          <w:rFonts w:ascii="Times New Roman" w:hAnsi="Times New Roman" w:cs="Times New Roman"/>
          <w:sz w:val="24"/>
          <w:szCs w:val="24"/>
        </w:rPr>
        <w:t xml:space="preserve"> kapsadığının, Üniversitemiz Akademik ve İdari birimlerinde çalışan her personelin iç kontrol sisteminde rol alması gerektiğinin,</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Üst Yöneticinin sahipliğinde ve gözetiminde, Strateji Geliştirme Daire Başkanlığının teknik desteği ve koordinatörlüğünde, harcama birimlerinin uygulamasıyla oluşturulacağının;</w:t>
      </w:r>
    </w:p>
    <w:p w:rsidR="00E5797E" w:rsidRPr="00E5797E" w:rsidRDefault="00E5797E" w:rsidP="00F915D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 xml:space="preserve">Kabulü ile Üniversitemiz tüm birimlerinde çalışanlar üzerinde bu hususlarda farkındalığın sağlanması ile kurulabileceği ve etkin bir şekilde işleyebileceği tabiidir. </w:t>
      </w:r>
    </w:p>
    <w:p w:rsidR="00E5797E" w:rsidRPr="00E5797E" w:rsidRDefault="00F915DC" w:rsidP="00F915DC">
      <w:pPr>
        <w:tabs>
          <w:tab w:val="left" w:pos="284"/>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sidR="00E5797E" w:rsidRPr="00E5797E">
        <w:rPr>
          <w:rFonts w:ascii="Times New Roman" w:hAnsi="Times New Roman" w:cs="Times New Roman"/>
          <w:sz w:val="24"/>
          <w:szCs w:val="24"/>
        </w:rPr>
        <w:t xml:space="preserve">Kurulacak iç kontrol sisteminde süreçlere yerleşik kontroller sadece gerektiği kadar olmalı, fazlası işlerin aksamasına neden olabileceği gibi yetersiz kontroller de usulsüzlüklerin ve aksamaların ortaya çıkmasına neden olabilecektir. Bu haliyle kontroller, gerektiği yer ve zamanda gerektiği kadar yapılacak şekilde süreçlerle bütünleşmiş olmalıdır. </w:t>
      </w:r>
    </w:p>
    <w:p w:rsidR="00F915DC" w:rsidRDefault="00F915DC">
      <w:pPr>
        <w:rPr>
          <w:rFonts w:ascii="Times New Roman" w:eastAsia="Times New Roman" w:hAnsi="Times New Roman" w:cs="Times New Roman"/>
          <w:b/>
          <w:color w:val="E36C0A" w:themeColor="accent6" w:themeShade="BF"/>
          <w:sz w:val="24"/>
          <w:szCs w:val="24"/>
          <w:lang w:eastAsia="tr-TR"/>
        </w:rPr>
      </w:pPr>
      <w:r>
        <w:rPr>
          <w:rFonts w:ascii="Times New Roman" w:hAnsi="Times New Roman"/>
          <w:b/>
          <w:color w:val="E36C0A" w:themeColor="accent6" w:themeShade="BF"/>
          <w:sz w:val="24"/>
          <w:szCs w:val="24"/>
        </w:rPr>
        <w:br w:type="page"/>
      </w:r>
    </w:p>
    <w:p w:rsidR="00E5797E" w:rsidRPr="00F915DC" w:rsidRDefault="00E5797E" w:rsidP="00F915DC">
      <w:pPr>
        <w:pStyle w:val="ListeParagraf"/>
        <w:numPr>
          <w:ilvl w:val="0"/>
          <w:numId w:val="12"/>
        </w:numPr>
        <w:tabs>
          <w:tab w:val="left" w:pos="851"/>
        </w:tabs>
        <w:spacing w:after="0" w:line="240" w:lineRule="auto"/>
        <w:ind w:left="851" w:hanging="567"/>
        <w:jc w:val="both"/>
        <w:rPr>
          <w:rFonts w:ascii="Times New Roman" w:hAnsi="Times New Roman"/>
          <w:b/>
          <w:color w:val="E36C0A" w:themeColor="accent6" w:themeShade="BF"/>
          <w:sz w:val="24"/>
          <w:szCs w:val="24"/>
        </w:rPr>
      </w:pPr>
      <w:r w:rsidRPr="00F915DC">
        <w:rPr>
          <w:rFonts w:ascii="Times New Roman" w:hAnsi="Times New Roman"/>
          <w:b/>
          <w:color w:val="E36C0A" w:themeColor="accent6" w:themeShade="BF"/>
          <w:sz w:val="24"/>
          <w:szCs w:val="24"/>
        </w:rPr>
        <w:t>İç Kontrol Alanında Standartlar ve İç Kontrol Sisteminin Bileşenleri</w:t>
      </w:r>
    </w:p>
    <w:p w:rsidR="00E5797E" w:rsidRPr="00E5797E" w:rsidRDefault="00F915DC" w:rsidP="00F915DC">
      <w:pPr>
        <w:tabs>
          <w:tab w:val="left" w:pos="284"/>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sidR="00E5797E" w:rsidRPr="00E5797E">
        <w:rPr>
          <w:rFonts w:ascii="Times New Roman" w:hAnsi="Times New Roman" w:cs="Times New Roman"/>
          <w:sz w:val="24"/>
          <w:szCs w:val="24"/>
        </w:rPr>
        <w:t xml:space="preserve">İç kontrol alanında uluslararası uygulamalarda esas alınabilecek birden fazla standart bulunmaktadır. Maliye Bakanlığı’nca çıkarılan Kamu İç Kontrol Standartları Tebliği 26 Aralık 2007 tarihli ve 26738 sayılı Resmi Gazetede yayımlanmıştır. Söz konusu tebliğ uluslararası standartlardan COSO ve INTOSAI İç Kontrol Standartlarını esas almıştır. </w:t>
      </w:r>
    </w:p>
    <w:p w:rsidR="00E5797E" w:rsidRPr="00E5797E" w:rsidRDefault="00F915DC" w:rsidP="00F915DC">
      <w:pPr>
        <w:tabs>
          <w:tab w:val="left" w:pos="284"/>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sidR="00E5797E" w:rsidRPr="00E5797E">
        <w:rPr>
          <w:rFonts w:ascii="Times New Roman" w:hAnsi="Times New Roman" w:cs="Times New Roman"/>
          <w:sz w:val="24"/>
          <w:szCs w:val="24"/>
        </w:rPr>
        <w:t xml:space="preserve">Diğer bir ifade ile Türkiye’de kamu mali yönetim ve kontrol sistemini düzenleyen 5018 sayılı Kamu Mali Yönetimi ve Kontrol Kanunu ve ikincil mevzuat, COSO modelini esas alan bir iç kontrol sisteminin kurulmasını öngörmektedir. </w:t>
      </w:r>
    </w:p>
    <w:p w:rsidR="00E5797E" w:rsidRPr="00E5797E" w:rsidRDefault="00F915DC" w:rsidP="00F915DC">
      <w:pPr>
        <w:tabs>
          <w:tab w:val="left" w:pos="284"/>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sidR="00E5797E" w:rsidRPr="00E5797E">
        <w:rPr>
          <w:rFonts w:ascii="Times New Roman" w:hAnsi="Times New Roman" w:cs="Times New Roman"/>
          <w:sz w:val="24"/>
          <w:szCs w:val="24"/>
        </w:rPr>
        <w:t>Maliye Bakanlığı’nca çıkarılan tebliğde (5) başlık altında toplam (18) standart ve her bir standart için gerekli genel şartlar belirlenmiş bulunmaktadır. Bunlar sırasıyla;</w:t>
      </w:r>
    </w:p>
    <w:p w:rsidR="00E5797E" w:rsidRPr="00F915DC" w:rsidRDefault="00E5797E" w:rsidP="00F915DC">
      <w:pPr>
        <w:pStyle w:val="ListeParagraf"/>
        <w:numPr>
          <w:ilvl w:val="0"/>
          <w:numId w:val="14"/>
        </w:numPr>
        <w:autoSpaceDE w:val="0"/>
        <w:autoSpaceDN w:val="0"/>
        <w:adjustRightInd w:val="0"/>
        <w:spacing w:before="120" w:after="120" w:line="360" w:lineRule="auto"/>
        <w:ind w:left="567" w:hanging="283"/>
        <w:jc w:val="both"/>
        <w:rPr>
          <w:rFonts w:ascii="Times New Roman" w:hAnsi="Times New Roman"/>
          <w:b/>
          <w:bCs/>
          <w:color w:val="943634" w:themeColor="accent2" w:themeShade="BF"/>
          <w:sz w:val="24"/>
          <w:szCs w:val="24"/>
        </w:rPr>
      </w:pPr>
      <w:r w:rsidRPr="00F915DC">
        <w:rPr>
          <w:rFonts w:ascii="Times New Roman" w:hAnsi="Times New Roman"/>
          <w:b/>
          <w:bCs/>
          <w:color w:val="943634" w:themeColor="accent2" w:themeShade="BF"/>
          <w:sz w:val="24"/>
          <w:szCs w:val="24"/>
        </w:rPr>
        <w:t xml:space="preserve">Kontrol Ortamı Standartları </w:t>
      </w:r>
    </w:p>
    <w:p w:rsidR="00E5797E"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Standart: 1. Etik Değerler ve Dürüstlük</w:t>
      </w:r>
    </w:p>
    <w:p w:rsidR="00E5797E"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Standart: 2. Misyon, organizasyon yapısı ve görevler</w:t>
      </w:r>
    </w:p>
    <w:p w:rsidR="00E5797E"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Standart: 3. Personelin yeterliliği ve performansı</w:t>
      </w:r>
    </w:p>
    <w:p w:rsidR="00E5797E"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Standart: 4. Yetki Devri</w:t>
      </w:r>
    </w:p>
    <w:p w:rsidR="00F915DC" w:rsidRPr="00F915DC" w:rsidRDefault="00F915DC" w:rsidP="00F915DC">
      <w:pPr>
        <w:autoSpaceDE w:val="0"/>
        <w:autoSpaceDN w:val="0"/>
        <w:adjustRightInd w:val="0"/>
        <w:spacing w:before="120" w:after="120" w:line="360" w:lineRule="auto"/>
        <w:ind w:firstLine="284"/>
        <w:jc w:val="both"/>
        <w:rPr>
          <w:rFonts w:ascii="Times New Roman" w:hAnsi="Times New Roman"/>
          <w:sz w:val="24"/>
          <w:szCs w:val="24"/>
        </w:rPr>
      </w:pPr>
    </w:p>
    <w:p w:rsidR="00E5797E" w:rsidRPr="00F915DC" w:rsidRDefault="00E5797E" w:rsidP="00F915DC">
      <w:pPr>
        <w:pStyle w:val="ListeParagraf"/>
        <w:numPr>
          <w:ilvl w:val="0"/>
          <w:numId w:val="14"/>
        </w:numPr>
        <w:autoSpaceDE w:val="0"/>
        <w:autoSpaceDN w:val="0"/>
        <w:adjustRightInd w:val="0"/>
        <w:spacing w:before="120" w:after="120" w:line="360" w:lineRule="auto"/>
        <w:ind w:left="567" w:hanging="283"/>
        <w:jc w:val="both"/>
        <w:rPr>
          <w:rFonts w:ascii="Times New Roman" w:hAnsi="Times New Roman"/>
          <w:b/>
          <w:bCs/>
          <w:color w:val="943634" w:themeColor="accent2" w:themeShade="BF"/>
          <w:sz w:val="24"/>
          <w:szCs w:val="24"/>
        </w:rPr>
      </w:pPr>
      <w:r w:rsidRPr="00F915DC">
        <w:rPr>
          <w:rFonts w:ascii="Times New Roman" w:hAnsi="Times New Roman"/>
          <w:b/>
          <w:bCs/>
          <w:color w:val="943634" w:themeColor="accent2" w:themeShade="BF"/>
          <w:sz w:val="24"/>
          <w:szCs w:val="24"/>
        </w:rPr>
        <w:t xml:space="preserve">Risk Değerlendirme Standartları </w:t>
      </w:r>
    </w:p>
    <w:p w:rsidR="00E5797E"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Standart: 5. Planlama ve Programlama</w:t>
      </w:r>
    </w:p>
    <w:p w:rsidR="00E5797E"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Standart: 6. Risklerin belirlenmesi ve değerlendirilmesi</w:t>
      </w:r>
    </w:p>
    <w:p w:rsidR="00E5797E" w:rsidRPr="00F915DC" w:rsidRDefault="00E5797E" w:rsidP="00F915DC">
      <w:pPr>
        <w:pStyle w:val="ListeParagraf"/>
        <w:numPr>
          <w:ilvl w:val="0"/>
          <w:numId w:val="14"/>
        </w:numPr>
        <w:autoSpaceDE w:val="0"/>
        <w:autoSpaceDN w:val="0"/>
        <w:adjustRightInd w:val="0"/>
        <w:spacing w:before="120" w:after="120" w:line="360" w:lineRule="auto"/>
        <w:ind w:left="567" w:hanging="283"/>
        <w:jc w:val="both"/>
        <w:rPr>
          <w:rFonts w:ascii="Times New Roman" w:hAnsi="Times New Roman"/>
          <w:b/>
          <w:bCs/>
          <w:color w:val="943634" w:themeColor="accent2" w:themeShade="BF"/>
          <w:sz w:val="24"/>
          <w:szCs w:val="24"/>
        </w:rPr>
      </w:pPr>
      <w:r w:rsidRPr="00F915DC">
        <w:rPr>
          <w:rFonts w:ascii="Times New Roman" w:hAnsi="Times New Roman"/>
          <w:b/>
          <w:bCs/>
          <w:color w:val="943634" w:themeColor="accent2" w:themeShade="BF"/>
          <w:sz w:val="24"/>
          <w:szCs w:val="24"/>
        </w:rPr>
        <w:t xml:space="preserve">Kontrol Faaliyetleri Standartları </w:t>
      </w:r>
    </w:p>
    <w:p w:rsidR="00E5797E"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Standart: 7. Kontrol stratejileri ve yöntemleri</w:t>
      </w:r>
    </w:p>
    <w:p w:rsidR="00E5797E"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Standart: 8. Prosedürlerin belirlenmesi ve belgelendirilmesi</w:t>
      </w:r>
    </w:p>
    <w:p w:rsidR="00E5797E"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Standart: 9. Görevler ayrılığı</w:t>
      </w:r>
    </w:p>
    <w:p w:rsidR="00E5797E"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Standart: 10. Hiyerarşik kontroller</w:t>
      </w:r>
    </w:p>
    <w:p w:rsidR="00E5797E"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Standart: 11. Faaliyetlerin sürekliliği</w:t>
      </w:r>
    </w:p>
    <w:p w:rsidR="00E5797E"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Standart: 12. Bilgi sistemleri kontrolleri</w:t>
      </w:r>
    </w:p>
    <w:p w:rsidR="00F915DC" w:rsidRDefault="00F915DC">
      <w:pPr>
        <w:rPr>
          <w:rFonts w:ascii="Times New Roman" w:eastAsia="Times New Roman" w:hAnsi="Times New Roman" w:cs="Times New Roman"/>
          <w:b/>
          <w:bCs/>
          <w:color w:val="943634" w:themeColor="accent2" w:themeShade="BF"/>
          <w:sz w:val="24"/>
          <w:szCs w:val="24"/>
          <w:lang w:eastAsia="tr-TR"/>
        </w:rPr>
      </w:pPr>
      <w:r>
        <w:rPr>
          <w:rFonts w:ascii="Times New Roman" w:hAnsi="Times New Roman"/>
          <w:b/>
          <w:bCs/>
          <w:color w:val="943634" w:themeColor="accent2" w:themeShade="BF"/>
          <w:sz w:val="24"/>
          <w:szCs w:val="24"/>
        </w:rPr>
        <w:br w:type="page"/>
      </w:r>
    </w:p>
    <w:p w:rsidR="00E5797E" w:rsidRPr="00F915DC" w:rsidRDefault="00E5797E" w:rsidP="00F915DC">
      <w:pPr>
        <w:pStyle w:val="ListeParagraf"/>
        <w:numPr>
          <w:ilvl w:val="0"/>
          <w:numId w:val="14"/>
        </w:numPr>
        <w:autoSpaceDE w:val="0"/>
        <w:autoSpaceDN w:val="0"/>
        <w:adjustRightInd w:val="0"/>
        <w:spacing w:before="120" w:after="120" w:line="360" w:lineRule="auto"/>
        <w:ind w:left="567" w:hanging="283"/>
        <w:jc w:val="both"/>
        <w:rPr>
          <w:rFonts w:ascii="Times New Roman" w:hAnsi="Times New Roman"/>
          <w:b/>
          <w:bCs/>
          <w:color w:val="943634" w:themeColor="accent2" w:themeShade="BF"/>
          <w:sz w:val="24"/>
          <w:szCs w:val="24"/>
        </w:rPr>
      </w:pPr>
      <w:r w:rsidRPr="00F915DC">
        <w:rPr>
          <w:rFonts w:ascii="Times New Roman" w:hAnsi="Times New Roman"/>
          <w:b/>
          <w:bCs/>
          <w:color w:val="943634" w:themeColor="accent2" w:themeShade="BF"/>
          <w:sz w:val="24"/>
          <w:szCs w:val="24"/>
        </w:rPr>
        <w:t xml:space="preserve">Bilgi ve İletişim Standartları </w:t>
      </w:r>
    </w:p>
    <w:p w:rsidR="00E5797E"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Standart: 13. Bilgi ve iletişim</w:t>
      </w:r>
    </w:p>
    <w:p w:rsidR="00E5797E"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Standart: 14. Raporlama</w:t>
      </w:r>
    </w:p>
    <w:p w:rsidR="00E5797E"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Standart: 15. Kayıt ve dosyalama sistemi</w:t>
      </w:r>
    </w:p>
    <w:p w:rsidR="00E5797E"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Standart: 16. Hata, usulsüzlük ve yolsuzlukların bildirilmesi</w:t>
      </w:r>
    </w:p>
    <w:p w:rsidR="00E5797E" w:rsidRPr="00F915DC" w:rsidRDefault="00E5797E" w:rsidP="00F915DC">
      <w:pPr>
        <w:pStyle w:val="ListeParagraf"/>
        <w:numPr>
          <w:ilvl w:val="0"/>
          <w:numId w:val="14"/>
        </w:numPr>
        <w:autoSpaceDE w:val="0"/>
        <w:autoSpaceDN w:val="0"/>
        <w:adjustRightInd w:val="0"/>
        <w:spacing w:before="120" w:after="120" w:line="360" w:lineRule="auto"/>
        <w:ind w:left="567" w:hanging="283"/>
        <w:jc w:val="both"/>
        <w:rPr>
          <w:rFonts w:ascii="Times New Roman" w:hAnsi="Times New Roman"/>
          <w:b/>
          <w:bCs/>
          <w:color w:val="943634" w:themeColor="accent2" w:themeShade="BF"/>
          <w:sz w:val="24"/>
          <w:szCs w:val="24"/>
        </w:rPr>
      </w:pPr>
      <w:r w:rsidRPr="00F915DC">
        <w:rPr>
          <w:rFonts w:ascii="Times New Roman" w:hAnsi="Times New Roman"/>
          <w:b/>
          <w:bCs/>
          <w:color w:val="943634" w:themeColor="accent2" w:themeShade="BF"/>
          <w:sz w:val="24"/>
          <w:szCs w:val="24"/>
        </w:rPr>
        <w:t xml:space="preserve">İzleme Standartları </w:t>
      </w:r>
    </w:p>
    <w:p w:rsidR="00E5797E"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Standart: 17. İç kontrolün değerlendirilmesi</w:t>
      </w:r>
    </w:p>
    <w:p w:rsidR="00E5797E" w:rsidRPr="00F915DC" w:rsidRDefault="00E5797E" w:rsidP="00F915DC">
      <w:pPr>
        <w:autoSpaceDE w:val="0"/>
        <w:autoSpaceDN w:val="0"/>
        <w:adjustRightInd w:val="0"/>
        <w:spacing w:before="120" w:after="120" w:line="360" w:lineRule="auto"/>
        <w:ind w:firstLine="284"/>
        <w:jc w:val="both"/>
        <w:rPr>
          <w:rFonts w:ascii="Times New Roman" w:hAnsi="Times New Roman"/>
          <w:sz w:val="24"/>
          <w:szCs w:val="24"/>
        </w:rPr>
      </w:pPr>
      <w:r w:rsidRPr="00F915DC">
        <w:rPr>
          <w:rFonts w:ascii="Times New Roman" w:hAnsi="Times New Roman"/>
          <w:sz w:val="24"/>
          <w:szCs w:val="24"/>
        </w:rPr>
        <w:t>Standart: 18. İç denetim</w:t>
      </w:r>
    </w:p>
    <w:p w:rsidR="00E5797E" w:rsidRPr="00E5797E" w:rsidRDefault="00E5797E" w:rsidP="00F915DC">
      <w:pPr>
        <w:tabs>
          <w:tab w:val="left" w:pos="284"/>
        </w:tabs>
        <w:spacing w:before="100" w:beforeAutospacing="1" w:after="100" w:afterAutospacing="1" w:line="360" w:lineRule="auto"/>
        <w:jc w:val="both"/>
        <w:rPr>
          <w:rFonts w:ascii="Times New Roman" w:hAnsi="Times New Roman" w:cs="Times New Roman"/>
          <w:sz w:val="24"/>
          <w:szCs w:val="24"/>
        </w:rPr>
      </w:pPr>
      <w:proofErr w:type="gramStart"/>
      <w:r w:rsidRPr="00E5797E">
        <w:rPr>
          <w:rFonts w:ascii="Times New Roman" w:hAnsi="Times New Roman" w:cs="Times New Roman"/>
          <w:sz w:val="24"/>
          <w:szCs w:val="24"/>
        </w:rPr>
        <w:t>şeklindedir</w:t>
      </w:r>
      <w:proofErr w:type="gramEnd"/>
      <w:r w:rsidRPr="00E5797E">
        <w:rPr>
          <w:rFonts w:ascii="Times New Roman" w:hAnsi="Times New Roman" w:cs="Times New Roman"/>
          <w:sz w:val="24"/>
          <w:szCs w:val="24"/>
        </w:rPr>
        <w:t>.</w:t>
      </w:r>
    </w:p>
    <w:p w:rsidR="00E5797E" w:rsidRPr="00E5797E" w:rsidRDefault="00E5797E" w:rsidP="00E5797E">
      <w:pPr>
        <w:autoSpaceDE w:val="0"/>
        <w:autoSpaceDN w:val="0"/>
        <w:adjustRightInd w:val="0"/>
        <w:spacing w:before="120" w:after="120" w:line="360" w:lineRule="auto"/>
        <w:jc w:val="both"/>
        <w:rPr>
          <w:rFonts w:ascii="Times New Roman" w:hAnsi="Times New Roman" w:cs="Times New Roman"/>
          <w:sz w:val="24"/>
          <w:szCs w:val="24"/>
        </w:rPr>
      </w:pPr>
    </w:p>
    <w:p w:rsidR="00E5797E" w:rsidRPr="00E5797E" w:rsidRDefault="00E5797E" w:rsidP="00E5797E">
      <w:pPr>
        <w:autoSpaceDE w:val="0"/>
        <w:autoSpaceDN w:val="0"/>
        <w:adjustRightInd w:val="0"/>
        <w:spacing w:before="120" w:after="120" w:line="360" w:lineRule="auto"/>
        <w:jc w:val="both"/>
        <w:rPr>
          <w:rFonts w:ascii="Times New Roman" w:hAnsi="Times New Roman" w:cs="Times New Roman"/>
          <w:b/>
          <w:bCs/>
          <w:sz w:val="24"/>
          <w:szCs w:val="24"/>
        </w:rPr>
      </w:pPr>
    </w:p>
    <w:p w:rsidR="00B62C4C" w:rsidRDefault="00B62C4C">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E5797E" w:rsidRPr="00B62C4C" w:rsidRDefault="00E5797E" w:rsidP="00B62C4C">
      <w:pPr>
        <w:pStyle w:val="ListeParagraf"/>
        <w:numPr>
          <w:ilvl w:val="0"/>
          <w:numId w:val="12"/>
        </w:numPr>
        <w:tabs>
          <w:tab w:val="left" w:pos="851"/>
        </w:tabs>
        <w:spacing w:after="0" w:line="240" w:lineRule="auto"/>
        <w:ind w:left="851" w:hanging="567"/>
        <w:jc w:val="both"/>
        <w:rPr>
          <w:rFonts w:ascii="Times New Roman" w:hAnsi="Times New Roman"/>
          <w:b/>
          <w:color w:val="E36C0A" w:themeColor="accent6" w:themeShade="BF"/>
          <w:sz w:val="24"/>
          <w:szCs w:val="24"/>
        </w:rPr>
      </w:pPr>
      <w:r w:rsidRPr="00B62C4C">
        <w:rPr>
          <w:rFonts w:ascii="Times New Roman" w:hAnsi="Times New Roman"/>
          <w:b/>
          <w:color w:val="E36C0A" w:themeColor="accent6" w:themeShade="BF"/>
          <w:sz w:val="24"/>
          <w:szCs w:val="24"/>
        </w:rPr>
        <w:t>İç Kontrol Sisteminde Görevliler ve Sorumlulukları</w:t>
      </w:r>
    </w:p>
    <w:p w:rsidR="00E5797E" w:rsidRPr="00E5797E" w:rsidRDefault="00B62C4C" w:rsidP="00B62C4C">
      <w:pPr>
        <w:tabs>
          <w:tab w:val="left" w:pos="284"/>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sidR="00E5797E" w:rsidRPr="00E5797E">
        <w:rPr>
          <w:rFonts w:ascii="Times New Roman" w:hAnsi="Times New Roman" w:cs="Times New Roman"/>
          <w:sz w:val="24"/>
          <w:szCs w:val="24"/>
        </w:rPr>
        <w:t xml:space="preserve">Üniversitemizde kurulması gereken iç kontrol sistemine ilişkin sorumluluk; Üst Yönetici, Harcama Yetkilileri, Sürece dahil tüm personel, kontrol standartlarının belirlenmesi için oluşturulacak komisyonlar, Strateji Geliştirme Daire Başkanlığı </w:t>
      </w:r>
      <w:proofErr w:type="gramStart"/>
      <w:r w:rsidR="00E5797E" w:rsidRPr="00E5797E">
        <w:rPr>
          <w:rFonts w:ascii="Times New Roman" w:hAnsi="Times New Roman" w:cs="Times New Roman"/>
          <w:sz w:val="24"/>
          <w:szCs w:val="24"/>
        </w:rPr>
        <w:t>ve  İç</w:t>
      </w:r>
      <w:proofErr w:type="gramEnd"/>
      <w:r w:rsidR="00E5797E" w:rsidRPr="00E5797E">
        <w:rPr>
          <w:rFonts w:ascii="Times New Roman" w:hAnsi="Times New Roman" w:cs="Times New Roman"/>
          <w:sz w:val="24"/>
          <w:szCs w:val="24"/>
        </w:rPr>
        <w:t xml:space="preserve"> Denetim Birimidir. </w:t>
      </w:r>
    </w:p>
    <w:p w:rsidR="00E5797E" w:rsidRPr="00E5797E" w:rsidRDefault="00B62C4C" w:rsidP="00B62C4C">
      <w:pPr>
        <w:tabs>
          <w:tab w:val="left" w:pos="284"/>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sidR="00E5797E" w:rsidRPr="00E5797E">
        <w:rPr>
          <w:rFonts w:ascii="Times New Roman" w:hAnsi="Times New Roman" w:cs="Times New Roman"/>
          <w:sz w:val="24"/>
          <w:szCs w:val="24"/>
        </w:rPr>
        <w:t xml:space="preserve">5018 sayılı Kanunun 11 inci maddesi ile üst yöneticilere, idarelerinin mali yönetim ve iç kontrol sisteminin kurulması, işleyişinin gözetim ve izlenmesi, iç kontrol sisteminin bir gereği olarak yazılı </w:t>
      </w:r>
      <w:proofErr w:type="gramStart"/>
      <w:r w:rsidR="00E5797E" w:rsidRPr="00E5797E">
        <w:rPr>
          <w:rFonts w:ascii="Times New Roman" w:hAnsi="Times New Roman" w:cs="Times New Roman"/>
          <w:sz w:val="24"/>
          <w:szCs w:val="24"/>
        </w:rPr>
        <w:t>prosedür</w:t>
      </w:r>
      <w:proofErr w:type="gramEnd"/>
      <w:r w:rsidR="00E5797E" w:rsidRPr="00E5797E">
        <w:rPr>
          <w:rFonts w:ascii="Times New Roman" w:hAnsi="Times New Roman" w:cs="Times New Roman"/>
          <w:sz w:val="24"/>
          <w:szCs w:val="24"/>
        </w:rPr>
        <w:t xml:space="preserve"> ve talimatların oluşturulması gibi düzenlemelerin yapılması görevleri verilmiş ve Üst Yöneticiye bu hususlarda Bakana karşı hesap verme sorumluluğu yüklenmiştir. Üst yönetici bu sorumluluğun gereklerini, harcama yetkilileri, mali hizmetler birimi ve iç denetçiler aracılığıyla yerine getirecektir. </w:t>
      </w:r>
    </w:p>
    <w:p w:rsidR="00E5797E" w:rsidRPr="00E5797E" w:rsidRDefault="00B62C4C" w:rsidP="00B62C4C">
      <w:pPr>
        <w:tabs>
          <w:tab w:val="left" w:pos="284"/>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sidR="00E5797E" w:rsidRPr="00E5797E">
        <w:rPr>
          <w:rFonts w:ascii="Times New Roman" w:hAnsi="Times New Roman" w:cs="Times New Roman"/>
          <w:sz w:val="24"/>
          <w:szCs w:val="24"/>
        </w:rPr>
        <w:t xml:space="preserve">İç kontrolün temel ilkelerinin sayıldığı İç Kontrol ve Ön Mali Kontrole İlişkin Usul ve Esasların; </w:t>
      </w:r>
    </w:p>
    <w:p w:rsidR="00E5797E" w:rsidRPr="00E5797E" w:rsidRDefault="00B62C4C" w:rsidP="00B62C4C">
      <w:pPr>
        <w:tabs>
          <w:tab w:val="left" w:pos="284"/>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sidR="00E5797E" w:rsidRPr="00E5797E">
        <w:rPr>
          <w:rFonts w:ascii="Times New Roman" w:hAnsi="Times New Roman" w:cs="Times New Roman"/>
          <w:sz w:val="24"/>
          <w:szCs w:val="24"/>
        </w:rPr>
        <w:t xml:space="preserve">6 </w:t>
      </w:r>
      <w:proofErr w:type="spellStart"/>
      <w:r w:rsidR="00E5797E" w:rsidRPr="00E5797E">
        <w:rPr>
          <w:rFonts w:ascii="Times New Roman" w:hAnsi="Times New Roman" w:cs="Times New Roman"/>
          <w:sz w:val="24"/>
          <w:szCs w:val="24"/>
        </w:rPr>
        <w:t>ncı</w:t>
      </w:r>
      <w:proofErr w:type="spellEnd"/>
      <w:r w:rsidR="00E5797E" w:rsidRPr="00E5797E">
        <w:rPr>
          <w:rFonts w:ascii="Times New Roman" w:hAnsi="Times New Roman" w:cs="Times New Roman"/>
          <w:sz w:val="24"/>
          <w:szCs w:val="24"/>
        </w:rPr>
        <w:t xml:space="preserve"> maddesinde, iç kontrol faaliyetlerinin idarenin yönetim sorumluluğu çerçevesinde yürütüleceği, iç kontrole ilişkin sorumluluğun, </w:t>
      </w:r>
      <w:r w:rsidR="00E5797E" w:rsidRPr="00B62C4C">
        <w:rPr>
          <w:rFonts w:ascii="Times New Roman" w:hAnsi="Times New Roman" w:cs="Times New Roman"/>
          <w:sz w:val="24"/>
          <w:szCs w:val="24"/>
        </w:rPr>
        <w:t>işlem sürecinde yer alan bütün görevlileri</w:t>
      </w:r>
      <w:r w:rsidR="00E5797E" w:rsidRPr="00E5797E">
        <w:rPr>
          <w:rFonts w:ascii="Times New Roman" w:hAnsi="Times New Roman" w:cs="Times New Roman"/>
          <w:sz w:val="24"/>
          <w:szCs w:val="24"/>
        </w:rPr>
        <w:t xml:space="preserve"> kapsayacağı, </w:t>
      </w:r>
    </w:p>
    <w:p w:rsidR="00E5797E" w:rsidRPr="00E5797E" w:rsidRDefault="00B62C4C" w:rsidP="00B62C4C">
      <w:pPr>
        <w:tabs>
          <w:tab w:val="left" w:pos="284"/>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5797E" w:rsidRPr="00E5797E">
        <w:rPr>
          <w:rFonts w:ascii="Times New Roman" w:hAnsi="Times New Roman" w:cs="Times New Roman"/>
          <w:sz w:val="24"/>
          <w:szCs w:val="24"/>
        </w:rPr>
        <w:t xml:space="preserve">8 inci maddesinde ise, üst yöneticilerin; iç kontrol sisteminin kurulması ve gözetilmesinden, harcama yetkililerinin; görev ve yetki alanları çerçevesinde, idari ve mali karar ve işlemlere ilişkin olarak iç kontrolün işleyişinden sorumlu olacağı, idarelerin </w:t>
      </w:r>
      <w:r w:rsidR="00E5797E" w:rsidRPr="00B62C4C">
        <w:rPr>
          <w:rFonts w:ascii="Times New Roman" w:hAnsi="Times New Roman" w:cs="Times New Roman"/>
          <w:sz w:val="24"/>
          <w:szCs w:val="24"/>
        </w:rPr>
        <w:t>mali hizmetler birimlerinin</w:t>
      </w:r>
      <w:r w:rsidR="00E5797E" w:rsidRPr="00E5797E">
        <w:rPr>
          <w:rFonts w:ascii="Times New Roman" w:hAnsi="Times New Roman" w:cs="Times New Roman"/>
          <w:sz w:val="24"/>
          <w:szCs w:val="24"/>
        </w:rPr>
        <w:t xml:space="preserve"> (Strateji Geliştirme Daire Başkanlığı); iç kontrol sisteminin kurulması, standartlarının uygulanması ve geliştirilmesi konularında çalışmalar yapacağı ve ön mali kontrol faaliyetini yürütecekleri, muhasebe yetkililerinin; muhasebe kayıtlarının usulüne ve standartlara uygun, saydam ve erişilebilir şekilde tutulmasından sorumlu olacakları, ayrıca üst yöneticilerin, </w:t>
      </w:r>
      <w:r w:rsidR="00E5797E" w:rsidRPr="00B62C4C">
        <w:rPr>
          <w:rFonts w:ascii="Times New Roman" w:hAnsi="Times New Roman" w:cs="Times New Roman"/>
          <w:sz w:val="24"/>
          <w:szCs w:val="24"/>
        </w:rPr>
        <w:t>harcama yetkililerinin ve diğer yöneticilerin</w:t>
      </w:r>
      <w:r w:rsidR="00E5797E" w:rsidRPr="00E5797E">
        <w:rPr>
          <w:rFonts w:ascii="Times New Roman" w:hAnsi="Times New Roman" w:cs="Times New Roman"/>
          <w:sz w:val="24"/>
          <w:szCs w:val="24"/>
        </w:rPr>
        <w:t>, mesleki değerlere ve dürüst yönetim anlayışına sahip olmasından, mali yetki ve sorumlulukların gerekli yeterliliğe sahip personele verilmesinden, belirlenmiş standartlara uyulmasının sağlanmasından, mevzuata aykırı faaliyetlerin önlenmesinden, kapsamlı bir yönetim anlayışıyla uygun bir çalışma ortamının ve saydamlığın sağlanmasından görev ve yetkileri çerçevesinde sorumlu olacakları belirtilmiştir.</w:t>
      </w:r>
      <w:proofErr w:type="gramEnd"/>
    </w:p>
    <w:p w:rsidR="00E5797E" w:rsidRPr="00E5797E" w:rsidRDefault="00B62C4C" w:rsidP="00B62C4C">
      <w:pPr>
        <w:tabs>
          <w:tab w:val="left" w:pos="284"/>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sidR="00E5797E" w:rsidRPr="00E5797E">
        <w:rPr>
          <w:rFonts w:ascii="Times New Roman" w:hAnsi="Times New Roman" w:cs="Times New Roman"/>
          <w:sz w:val="24"/>
          <w:szCs w:val="24"/>
        </w:rPr>
        <w:t>Diğer taraftan; yukarıda yer alan hükümler dâhilinde üst yöneticinin 5018 sayılı Kanunla getirilen sorumluluğunu yerine getirebilmesi için kendisine makul bir güvence verecek etkin bir iç denetime ihtiyaç duyacağı, iç denetimin ise etkin olabilmesi için Üniversitemizde iç kontrol sisteminin etkin bir şekilde kurulmasıyla mümkün olabileceği açıktır.</w:t>
      </w:r>
    </w:p>
    <w:p w:rsidR="00E5797E" w:rsidRPr="00E5797E" w:rsidRDefault="00B62C4C" w:rsidP="00B62C4C">
      <w:pPr>
        <w:tabs>
          <w:tab w:val="left" w:pos="284"/>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sidR="00E5797E" w:rsidRPr="00E5797E">
        <w:rPr>
          <w:rFonts w:ascii="Times New Roman" w:hAnsi="Times New Roman" w:cs="Times New Roman"/>
          <w:sz w:val="24"/>
          <w:szCs w:val="24"/>
        </w:rPr>
        <w:t>5018 sayılı Kanunun 63 ve 64 üncü maddelerinde ise; iç denetçilerin iç kontrol alanındaki görev ve sorumlulukları düzenlenmiştir.</w:t>
      </w:r>
    </w:p>
    <w:p w:rsidR="00E5797E" w:rsidRPr="00E5797E" w:rsidRDefault="00B62C4C" w:rsidP="00B62C4C">
      <w:pPr>
        <w:tabs>
          <w:tab w:val="left" w:pos="284"/>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sidR="00E5797E" w:rsidRPr="00E5797E">
        <w:rPr>
          <w:rFonts w:ascii="Times New Roman" w:hAnsi="Times New Roman" w:cs="Times New Roman"/>
          <w:sz w:val="24"/>
          <w:szCs w:val="24"/>
        </w:rPr>
        <w:t>Açıklanan tüm hususlar sonucunda; 5018 sayılı Kamu Mali Yönetimi ve Kontrol Kanunu uyarınca; Üniversitemizde kurulması gereken iç kontrol sistemine ilişkin sorumluluk bakımından aktörlerin;</w:t>
      </w:r>
    </w:p>
    <w:p w:rsidR="00E5797E" w:rsidRPr="00E5797E" w:rsidRDefault="00E5797E" w:rsidP="00B62C4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Üst Yönetici;  iç kontrol sistemini kurma ve gözetim altında bulundurulmasından,</w:t>
      </w:r>
    </w:p>
    <w:p w:rsidR="00E5797E" w:rsidRPr="00E5797E" w:rsidRDefault="00E5797E" w:rsidP="00B62C4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Harcama Yetkilileri; görev ve yetki alanları çerçevesinde, idari-mali karar ve işlemlere ilişkin olarak iç kontrolün isleyişinden,</w:t>
      </w:r>
    </w:p>
    <w:p w:rsidR="00E5797E" w:rsidRPr="00E5797E" w:rsidRDefault="00E5797E" w:rsidP="00B62C4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Strateji Geliştirme Daire Başkanlığı; iç kontrol sisteminin kurulması ve standartların uygulanması çalışmalarında teknik destek ve koordinasyon ile ön mali kontrol hizmetlerinden,</w:t>
      </w:r>
    </w:p>
    <w:p w:rsidR="00E5797E" w:rsidRPr="00E5797E" w:rsidRDefault="00E5797E" w:rsidP="00B62C4C">
      <w:pPr>
        <w:numPr>
          <w:ilvl w:val="0"/>
          <w:numId w:val="10"/>
        </w:numPr>
        <w:tabs>
          <w:tab w:val="left" w:pos="567"/>
        </w:tabs>
        <w:spacing w:before="120" w:after="120" w:line="360" w:lineRule="auto"/>
        <w:ind w:left="567" w:hanging="283"/>
        <w:jc w:val="both"/>
        <w:rPr>
          <w:rFonts w:ascii="Times New Roman" w:hAnsi="Times New Roman" w:cs="Times New Roman"/>
          <w:sz w:val="24"/>
          <w:szCs w:val="24"/>
        </w:rPr>
      </w:pPr>
      <w:r w:rsidRPr="00E5797E">
        <w:rPr>
          <w:rFonts w:ascii="Times New Roman" w:hAnsi="Times New Roman" w:cs="Times New Roman"/>
          <w:sz w:val="24"/>
          <w:szCs w:val="24"/>
        </w:rPr>
        <w:t>Kurulacak olan İç Denetim Birimi;  kurulmuş iç kontrol sisteminin değerlendirilmesi ve denetiminden,</w:t>
      </w:r>
    </w:p>
    <w:p w:rsidR="004610E5" w:rsidRDefault="00E5797E" w:rsidP="003F38AB">
      <w:pPr>
        <w:numPr>
          <w:ilvl w:val="0"/>
          <w:numId w:val="10"/>
        </w:numPr>
        <w:tabs>
          <w:tab w:val="left" w:pos="567"/>
        </w:tabs>
        <w:spacing w:before="120" w:after="120" w:line="360" w:lineRule="auto"/>
        <w:ind w:left="567" w:hanging="283"/>
        <w:jc w:val="both"/>
        <w:rPr>
          <w:sz w:val="20"/>
          <w:szCs w:val="20"/>
        </w:rPr>
      </w:pPr>
      <w:r w:rsidRPr="00E5797E">
        <w:rPr>
          <w:rFonts w:ascii="Times New Roman" w:hAnsi="Times New Roman" w:cs="Times New Roman"/>
          <w:sz w:val="24"/>
          <w:szCs w:val="24"/>
        </w:rPr>
        <w:t>Sürece dahil personel; iç kontrolü yaşama geçirmekten sorumludur</w:t>
      </w:r>
      <w:r w:rsidRPr="00E5797E">
        <w:rPr>
          <w:rFonts w:ascii="Times New Roman" w:hAnsi="Times New Roman" w:cs="Times New Roman"/>
          <w:sz w:val="24"/>
          <w:szCs w:val="24"/>
        </w:rPr>
        <w:tab/>
      </w:r>
      <w:r w:rsidR="003F38AB">
        <w:rPr>
          <w:rFonts w:ascii="Times New Roman" w:hAnsi="Times New Roman" w:cs="Times New Roman"/>
          <w:sz w:val="24"/>
          <w:szCs w:val="24"/>
        </w:rPr>
        <w:t>.</w:t>
      </w:r>
      <w:bookmarkStart w:id="0" w:name="_GoBack"/>
      <w:bookmarkEnd w:id="0"/>
      <w:r w:rsidR="003F38AB">
        <w:rPr>
          <w:sz w:val="20"/>
          <w:szCs w:val="20"/>
        </w:rPr>
        <w:t xml:space="preserve"> </w:t>
      </w:r>
    </w:p>
    <w:sectPr w:rsidR="004610E5" w:rsidSect="003F38AB">
      <w:headerReference w:type="even" r:id="rId12"/>
      <w:headerReference w:type="default" r:id="rId13"/>
      <w:footerReference w:type="even" r:id="rId14"/>
      <w:footerReference w:type="default" r:id="rId15"/>
      <w:pgSz w:w="11906" w:h="16838"/>
      <w:pgMar w:top="720" w:right="720" w:bottom="720" w:left="720" w:header="708" w:footer="22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C58" w:rsidRDefault="00307C58" w:rsidP="005A4BD0">
      <w:pPr>
        <w:spacing w:after="0" w:line="240" w:lineRule="auto"/>
      </w:pPr>
      <w:r>
        <w:separator/>
      </w:r>
    </w:p>
  </w:endnote>
  <w:endnote w:type="continuationSeparator" w:id="0">
    <w:p w:rsidR="00307C58" w:rsidRDefault="00307C58" w:rsidP="005A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16"/>
        <w:szCs w:val="16"/>
      </w:rPr>
      <w:id w:val="-458410643"/>
      <w:docPartObj>
        <w:docPartGallery w:val="Page Numbers (Bottom of Page)"/>
        <w:docPartUnique/>
      </w:docPartObj>
    </w:sdtPr>
    <w:sdtEndPr/>
    <w:sdtContent>
      <w:p w:rsidR="00011F62" w:rsidRPr="00011F62" w:rsidRDefault="00011F62" w:rsidP="00011F62">
        <w:pPr>
          <w:pStyle w:val="Altbilgi"/>
          <w:jc w:val="center"/>
          <w:rPr>
            <w:rFonts w:asciiTheme="majorHAnsi" w:eastAsiaTheme="majorEastAsia" w:hAnsiTheme="majorHAnsi" w:cstheme="majorBidi"/>
            <w:sz w:val="16"/>
            <w:szCs w:val="16"/>
          </w:rPr>
        </w:pPr>
        <w:r w:rsidRPr="005A4BD0">
          <w:rPr>
            <w:rFonts w:asciiTheme="majorHAnsi" w:eastAsiaTheme="majorEastAsia" w:hAnsiTheme="majorHAnsi" w:cstheme="majorBidi"/>
            <w:sz w:val="16"/>
            <w:szCs w:val="16"/>
          </w:rPr>
          <w:t xml:space="preserve">~ </w:t>
        </w:r>
        <w:r w:rsidRPr="005A4BD0">
          <w:rPr>
            <w:rFonts w:asciiTheme="minorHAnsi" w:eastAsiaTheme="minorEastAsia" w:hAnsiTheme="minorHAnsi" w:cstheme="minorBidi"/>
            <w:sz w:val="16"/>
            <w:szCs w:val="16"/>
          </w:rPr>
          <w:fldChar w:fldCharType="begin"/>
        </w:r>
        <w:r w:rsidRPr="005A4BD0">
          <w:rPr>
            <w:sz w:val="16"/>
            <w:szCs w:val="16"/>
          </w:rPr>
          <w:instrText>PAGE    \* MERGEFORMAT</w:instrText>
        </w:r>
        <w:r w:rsidRPr="005A4BD0">
          <w:rPr>
            <w:rFonts w:asciiTheme="minorHAnsi" w:eastAsiaTheme="minorEastAsia" w:hAnsiTheme="minorHAnsi" w:cstheme="minorBidi"/>
            <w:sz w:val="16"/>
            <w:szCs w:val="16"/>
          </w:rPr>
          <w:fldChar w:fldCharType="separate"/>
        </w:r>
        <w:r w:rsidR="003F38AB" w:rsidRPr="003F38AB">
          <w:rPr>
            <w:rFonts w:asciiTheme="majorHAnsi" w:eastAsiaTheme="majorEastAsia" w:hAnsiTheme="majorHAnsi" w:cstheme="majorBidi"/>
            <w:noProof/>
            <w:sz w:val="16"/>
            <w:szCs w:val="16"/>
          </w:rPr>
          <w:t>2</w:t>
        </w:r>
        <w:r w:rsidRPr="005A4BD0">
          <w:rPr>
            <w:rFonts w:asciiTheme="majorHAnsi" w:eastAsiaTheme="majorEastAsia" w:hAnsiTheme="majorHAnsi" w:cstheme="majorBidi"/>
            <w:sz w:val="16"/>
            <w:szCs w:val="16"/>
          </w:rPr>
          <w:fldChar w:fldCharType="end"/>
        </w:r>
        <w:r w:rsidRPr="005A4BD0">
          <w:rPr>
            <w:rFonts w:asciiTheme="majorHAnsi" w:eastAsiaTheme="majorEastAsia" w:hAnsiTheme="majorHAnsi" w:cstheme="majorBidi"/>
            <w:sz w:val="16"/>
            <w:szCs w:val="16"/>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F62" w:rsidRDefault="00011F6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F62" w:rsidRPr="00011F62" w:rsidRDefault="00011F62" w:rsidP="00011F6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C58" w:rsidRDefault="00307C58" w:rsidP="005A4BD0">
      <w:pPr>
        <w:spacing w:after="0" w:line="240" w:lineRule="auto"/>
      </w:pPr>
      <w:r>
        <w:separator/>
      </w:r>
    </w:p>
  </w:footnote>
  <w:footnote w:type="continuationSeparator" w:id="0">
    <w:p w:rsidR="00307C58" w:rsidRDefault="00307C58" w:rsidP="005A4B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1" w:type="pct"/>
      <w:tblBorders>
        <w:bottom w:val="single" w:sz="4" w:space="0" w:color="auto"/>
      </w:tblBorders>
      <w:tblCellMar>
        <w:top w:w="72" w:type="dxa"/>
        <w:left w:w="115" w:type="dxa"/>
        <w:bottom w:w="72" w:type="dxa"/>
        <w:right w:w="115" w:type="dxa"/>
      </w:tblCellMar>
      <w:tblLook w:val="04A0" w:firstRow="1" w:lastRow="0" w:firstColumn="1" w:lastColumn="0" w:noHBand="0" w:noVBand="1"/>
    </w:tblPr>
    <w:tblGrid>
      <w:gridCol w:w="4793"/>
      <w:gridCol w:w="5755"/>
    </w:tblGrid>
    <w:tr w:rsidR="00F4284C" w:rsidTr="00F4284C">
      <w:tc>
        <w:tcPr>
          <w:tcW w:w="2272" w:type="pct"/>
          <w:shd w:val="clear" w:color="auto" w:fill="943634" w:themeFill="accent2" w:themeFillShade="BF"/>
          <w:vAlign w:val="bottom"/>
        </w:tcPr>
        <w:p w:rsidR="00F4284C" w:rsidRPr="00F4284C" w:rsidRDefault="00F4284C" w:rsidP="00F4284C">
          <w:pPr>
            <w:pStyle w:val="stbilgi"/>
            <w:rPr>
              <w:color w:val="FFFFFF" w:themeColor="background1"/>
              <w:sz w:val="18"/>
              <w:szCs w:val="18"/>
            </w:rPr>
          </w:pPr>
          <w:r w:rsidRPr="00F4284C">
            <w:rPr>
              <w:b/>
              <w:bCs/>
              <w:color w:val="FFFFFF" w:themeColor="background1"/>
              <w:sz w:val="18"/>
              <w:szCs w:val="18"/>
            </w:rPr>
            <w:t>Kamu İç Kontrol Standartları Eylem Planı</w:t>
          </w:r>
        </w:p>
      </w:tc>
      <w:tc>
        <w:tcPr>
          <w:tcW w:w="2728" w:type="pct"/>
          <w:vAlign w:val="bottom"/>
        </w:tcPr>
        <w:p w:rsidR="00F4284C" w:rsidRPr="00F4284C" w:rsidRDefault="00F4284C" w:rsidP="00F4284C">
          <w:pPr>
            <w:pStyle w:val="stbilgi"/>
            <w:jc w:val="right"/>
            <w:rPr>
              <w:color w:val="76923C" w:themeColor="accent3" w:themeShade="BF"/>
              <w:sz w:val="18"/>
              <w:szCs w:val="18"/>
            </w:rPr>
          </w:pPr>
          <w:r w:rsidRPr="005A4BD0">
            <w:rPr>
              <w:b/>
              <w:color w:val="002060"/>
              <w:sz w:val="18"/>
              <w:szCs w:val="18"/>
            </w:rPr>
            <w:t>GÜMÜŞHANE ÜNİVERSİTESİ</w:t>
          </w:r>
        </w:p>
      </w:tc>
    </w:tr>
  </w:tbl>
  <w:p w:rsidR="005A4BD0" w:rsidRDefault="005A4BD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F62" w:rsidRPr="00011F62" w:rsidRDefault="00011F62" w:rsidP="00011F62">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F62" w:rsidRPr="00011F62" w:rsidRDefault="00011F62" w:rsidP="00011F6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85pt;height:8.85pt" o:bullet="t">
        <v:imagedata r:id="rId1" o:title="BD14583_"/>
      </v:shape>
    </w:pict>
  </w:numPicBullet>
  <w:numPicBullet w:numPicBulletId="1">
    <w:pict>
      <v:shape id="_x0000_i1029" type="#_x0000_t75" style="width:10.85pt;height:10.85pt" o:bullet="t">
        <v:imagedata r:id="rId2" o:title="mso6"/>
      </v:shape>
    </w:pict>
  </w:numPicBullet>
  <w:abstractNum w:abstractNumId="0">
    <w:nsid w:val="20B9097F"/>
    <w:multiLevelType w:val="hybridMultilevel"/>
    <w:tmpl w:val="FAEAA16A"/>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220A1A14"/>
    <w:multiLevelType w:val="hybridMultilevel"/>
    <w:tmpl w:val="33001882"/>
    <w:lvl w:ilvl="0" w:tplc="A0E2949A">
      <w:start w:val="1"/>
      <w:numFmt w:val="bullet"/>
      <w:lvlText w:val=""/>
      <w:lvlPicBulletId w:val="0"/>
      <w:lvlJc w:val="left"/>
      <w:pPr>
        <w:ind w:left="1068" w:hanging="360"/>
      </w:pPr>
      <w:rPr>
        <w:rFonts w:ascii="Symbol" w:hAnsi="Symbol" w:hint="default"/>
        <w:color w:val="auto"/>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
    <w:nsid w:val="2A28719B"/>
    <w:multiLevelType w:val="hybridMultilevel"/>
    <w:tmpl w:val="2AB6F09A"/>
    <w:lvl w:ilvl="0" w:tplc="FF3E88EA">
      <w:start w:val="1"/>
      <w:numFmt w:val="bullet"/>
      <w:lvlText w:val=""/>
      <w:lvlPicBulletId w:val="1"/>
      <w:lvlJc w:val="left"/>
      <w:pPr>
        <w:tabs>
          <w:tab w:val="num" w:pos="1134"/>
        </w:tabs>
        <w:ind w:left="1134" w:hanging="414"/>
      </w:pPr>
      <w:rPr>
        <w:rFonts w:ascii="Symbol" w:hAnsi="Symbol" w:hint="default"/>
      </w:rPr>
    </w:lvl>
    <w:lvl w:ilvl="1" w:tplc="A0E2949A">
      <w:start w:val="1"/>
      <w:numFmt w:val="bullet"/>
      <w:lvlText w:val=""/>
      <w:lvlPicBulletId w:val="0"/>
      <w:lvlJc w:val="left"/>
      <w:pPr>
        <w:tabs>
          <w:tab w:val="num" w:pos="1134"/>
        </w:tabs>
        <w:ind w:left="680" w:firstLine="40"/>
      </w:pPr>
      <w:rPr>
        <w:rFonts w:ascii="Symbol" w:hAnsi="Symbol" w:hint="default"/>
        <w:color w:val="auto"/>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2F550D70"/>
    <w:multiLevelType w:val="hybridMultilevel"/>
    <w:tmpl w:val="428AF22C"/>
    <w:lvl w:ilvl="0" w:tplc="F17E1ED6">
      <w:start w:val="1"/>
      <w:numFmt w:val="lowerLetter"/>
      <w:lvlText w:val="%1)"/>
      <w:lvlJc w:val="left"/>
      <w:pPr>
        <w:ind w:left="720" w:hanging="360"/>
      </w:pPr>
      <w:rPr>
        <w:rFonts w:hint="default"/>
        <w:b/>
        <w:color w:val="C0504D" w:themeColor="accent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0BC4A4B"/>
    <w:multiLevelType w:val="hybridMultilevel"/>
    <w:tmpl w:val="F000AFF4"/>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465E5026"/>
    <w:multiLevelType w:val="hybridMultilevel"/>
    <w:tmpl w:val="110AE890"/>
    <w:lvl w:ilvl="0" w:tplc="A0E2949A">
      <w:start w:val="1"/>
      <w:numFmt w:val="bullet"/>
      <w:lvlText w:val=""/>
      <w:lvlPicBulletId w:val="0"/>
      <w:lvlJc w:val="left"/>
      <w:pPr>
        <w:tabs>
          <w:tab w:val="num" w:pos="1134"/>
        </w:tabs>
        <w:ind w:left="680" w:firstLine="4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493E170F"/>
    <w:multiLevelType w:val="hybridMultilevel"/>
    <w:tmpl w:val="C214FD8E"/>
    <w:lvl w:ilvl="0" w:tplc="A0E2949A">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nsid w:val="4F6528EC"/>
    <w:multiLevelType w:val="hybridMultilevel"/>
    <w:tmpl w:val="428AF22C"/>
    <w:lvl w:ilvl="0" w:tplc="F17E1ED6">
      <w:start w:val="1"/>
      <w:numFmt w:val="lowerLetter"/>
      <w:lvlText w:val="%1)"/>
      <w:lvlJc w:val="left"/>
      <w:pPr>
        <w:ind w:left="720" w:hanging="360"/>
      </w:pPr>
      <w:rPr>
        <w:rFonts w:hint="default"/>
        <w:b/>
        <w:color w:val="C0504D" w:themeColor="accent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FDC75B2"/>
    <w:multiLevelType w:val="hybridMultilevel"/>
    <w:tmpl w:val="E358660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6E15799B"/>
    <w:multiLevelType w:val="hybridMultilevel"/>
    <w:tmpl w:val="3830194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E3A66A7"/>
    <w:multiLevelType w:val="hybridMultilevel"/>
    <w:tmpl w:val="E124D99A"/>
    <w:lvl w:ilvl="0" w:tplc="A0E2949A">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nsid w:val="77E01085"/>
    <w:multiLevelType w:val="hybridMultilevel"/>
    <w:tmpl w:val="C9206C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F9D0543"/>
    <w:multiLevelType w:val="hybridMultilevel"/>
    <w:tmpl w:val="047C4EB6"/>
    <w:lvl w:ilvl="0" w:tplc="A0E2949A">
      <w:start w:val="1"/>
      <w:numFmt w:val="bullet"/>
      <w:lvlText w:val=""/>
      <w:lvlPicBulletId w:val="0"/>
      <w:lvlJc w:val="left"/>
      <w:pPr>
        <w:tabs>
          <w:tab w:val="num" w:pos="1134"/>
        </w:tabs>
        <w:ind w:left="680" w:firstLine="40"/>
      </w:pPr>
      <w:rPr>
        <w:rFonts w:ascii="Symbol" w:hAnsi="Symbol" w:hint="default"/>
        <w:color w:val="auto"/>
      </w:rPr>
    </w:lvl>
    <w:lvl w:ilvl="1" w:tplc="A74A5F0C">
      <w:start w:val="1"/>
      <w:numFmt w:val="bullet"/>
      <w:lvlText w:val=""/>
      <w:lvlPicBulletId w:val="1"/>
      <w:lvlJc w:val="left"/>
      <w:pPr>
        <w:tabs>
          <w:tab w:val="num" w:pos="1134"/>
        </w:tabs>
        <w:ind w:left="1134" w:hanging="54"/>
      </w:pPr>
      <w:rPr>
        <w:rFonts w:ascii="Symbol" w:hAnsi="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7FDA10D4"/>
    <w:multiLevelType w:val="hybridMultilevel"/>
    <w:tmpl w:val="A740EBA0"/>
    <w:lvl w:ilvl="0" w:tplc="A0E2949A">
      <w:start w:val="1"/>
      <w:numFmt w:val="bullet"/>
      <w:lvlText w:val=""/>
      <w:lvlPicBulletId w:val="0"/>
      <w:lvlJc w:val="left"/>
      <w:pPr>
        <w:tabs>
          <w:tab w:val="num" w:pos="1134"/>
        </w:tabs>
        <w:ind w:left="680" w:firstLine="40"/>
      </w:pPr>
      <w:rPr>
        <w:rFonts w:ascii="Symbol" w:hAnsi="Symbol" w:hint="default"/>
        <w:color w:val="auto"/>
      </w:rPr>
    </w:lvl>
    <w:lvl w:ilvl="1" w:tplc="A74A5F0C">
      <w:start w:val="1"/>
      <w:numFmt w:val="bullet"/>
      <w:lvlText w:val=""/>
      <w:lvlPicBulletId w:val="1"/>
      <w:lvlJc w:val="left"/>
      <w:pPr>
        <w:tabs>
          <w:tab w:val="num" w:pos="1134"/>
        </w:tabs>
        <w:ind w:left="1134" w:hanging="54"/>
      </w:pPr>
      <w:rPr>
        <w:rFonts w:ascii="Symbol" w:hAnsi="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
  </w:num>
  <w:num w:numId="4">
    <w:abstractNumId w:val="5"/>
  </w:num>
  <w:num w:numId="5">
    <w:abstractNumId w:val="6"/>
  </w:num>
  <w:num w:numId="6">
    <w:abstractNumId w:val="10"/>
  </w:num>
  <w:num w:numId="7">
    <w:abstractNumId w:val="4"/>
  </w:num>
  <w:num w:numId="8">
    <w:abstractNumId w:val="2"/>
  </w:num>
  <w:num w:numId="9">
    <w:abstractNumId w:val="12"/>
  </w:num>
  <w:num w:numId="10">
    <w:abstractNumId w:val="13"/>
  </w:num>
  <w:num w:numId="11">
    <w:abstractNumId w:val="11"/>
  </w:num>
  <w:num w:numId="12">
    <w:abstractNumId w:val="9"/>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039"/>
    <w:rsid w:val="00011F62"/>
    <w:rsid w:val="000A539B"/>
    <w:rsid w:val="000C00DD"/>
    <w:rsid w:val="000D25DF"/>
    <w:rsid w:val="001552BC"/>
    <w:rsid w:val="00193A15"/>
    <w:rsid w:val="002347EC"/>
    <w:rsid w:val="00237434"/>
    <w:rsid w:val="00275917"/>
    <w:rsid w:val="00307C58"/>
    <w:rsid w:val="00383412"/>
    <w:rsid w:val="003917BD"/>
    <w:rsid w:val="003A38F8"/>
    <w:rsid w:val="003F38AB"/>
    <w:rsid w:val="004610E5"/>
    <w:rsid w:val="004A1DEC"/>
    <w:rsid w:val="004F6C86"/>
    <w:rsid w:val="005239FB"/>
    <w:rsid w:val="00563BA4"/>
    <w:rsid w:val="005A4BD0"/>
    <w:rsid w:val="005B3297"/>
    <w:rsid w:val="005E6682"/>
    <w:rsid w:val="006319E7"/>
    <w:rsid w:val="0068133D"/>
    <w:rsid w:val="006B549F"/>
    <w:rsid w:val="006B6E84"/>
    <w:rsid w:val="006C1845"/>
    <w:rsid w:val="006C3B41"/>
    <w:rsid w:val="006E3537"/>
    <w:rsid w:val="00703455"/>
    <w:rsid w:val="00726CAD"/>
    <w:rsid w:val="007A4105"/>
    <w:rsid w:val="007E59F2"/>
    <w:rsid w:val="007F3B1F"/>
    <w:rsid w:val="00833CD9"/>
    <w:rsid w:val="00860A14"/>
    <w:rsid w:val="00881F6C"/>
    <w:rsid w:val="00932CD3"/>
    <w:rsid w:val="00973465"/>
    <w:rsid w:val="00974C30"/>
    <w:rsid w:val="00990A8D"/>
    <w:rsid w:val="009C2D4E"/>
    <w:rsid w:val="00A165A3"/>
    <w:rsid w:val="00A30039"/>
    <w:rsid w:val="00A37501"/>
    <w:rsid w:val="00A37EAF"/>
    <w:rsid w:val="00AC08A3"/>
    <w:rsid w:val="00AF36B5"/>
    <w:rsid w:val="00B42E03"/>
    <w:rsid w:val="00B62C4C"/>
    <w:rsid w:val="00B76694"/>
    <w:rsid w:val="00BB3FDD"/>
    <w:rsid w:val="00BE4B62"/>
    <w:rsid w:val="00C120AA"/>
    <w:rsid w:val="00C92DD0"/>
    <w:rsid w:val="00CB57E6"/>
    <w:rsid w:val="00CC453A"/>
    <w:rsid w:val="00CD2BC7"/>
    <w:rsid w:val="00D15E7F"/>
    <w:rsid w:val="00D30C0F"/>
    <w:rsid w:val="00D32D7E"/>
    <w:rsid w:val="00D520BA"/>
    <w:rsid w:val="00D76909"/>
    <w:rsid w:val="00DB0005"/>
    <w:rsid w:val="00DD0514"/>
    <w:rsid w:val="00DE56C8"/>
    <w:rsid w:val="00E319C3"/>
    <w:rsid w:val="00E34F97"/>
    <w:rsid w:val="00E533DD"/>
    <w:rsid w:val="00E5797E"/>
    <w:rsid w:val="00E839E8"/>
    <w:rsid w:val="00EE7923"/>
    <w:rsid w:val="00F31826"/>
    <w:rsid w:val="00F334D6"/>
    <w:rsid w:val="00F4284C"/>
    <w:rsid w:val="00F60BF6"/>
    <w:rsid w:val="00F915DC"/>
    <w:rsid w:val="00F917D5"/>
    <w:rsid w:val="00FE55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semiHidden/>
    <w:unhideWhenUsed/>
    <w:rsid w:val="00932CD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32CD3"/>
    <w:rPr>
      <w:rFonts w:ascii="Tahoma" w:hAnsi="Tahoma" w:cs="Tahoma"/>
      <w:sz w:val="16"/>
      <w:szCs w:val="16"/>
    </w:rPr>
  </w:style>
  <w:style w:type="paragraph" w:styleId="stbilgi">
    <w:name w:val="header"/>
    <w:basedOn w:val="Normal"/>
    <w:link w:val="stbilgiChar"/>
    <w:uiPriority w:val="99"/>
    <w:rsid w:val="00E5797E"/>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E5797E"/>
    <w:rPr>
      <w:rFonts w:ascii="Times New Roman" w:eastAsia="Times New Roman" w:hAnsi="Times New Roman" w:cs="Times New Roman"/>
      <w:sz w:val="24"/>
      <w:szCs w:val="24"/>
      <w:lang w:eastAsia="tr-TR"/>
    </w:rPr>
  </w:style>
  <w:style w:type="paragraph" w:styleId="Altbilgi">
    <w:name w:val="footer"/>
    <w:basedOn w:val="Normal"/>
    <w:link w:val="AltbilgiChar"/>
    <w:uiPriority w:val="99"/>
    <w:rsid w:val="00E5797E"/>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E5797E"/>
    <w:rPr>
      <w:rFonts w:ascii="Times New Roman" w:eastAsia="Times New Roman" w:hAnsi="Times New Roman" w:cs="Times New Roman"/>
      <w:sz w:val="24"/>
      <w:szCs w:val="24"/>
      <w:lang w:eastAsia="tr-TR"/>
    </w:rPr>
  </w:style>
  <w:style w:type="paragraph" w:styleId="ListeParagraf">
    <w:name w:val="List Paragraph"/>
    <w:basedOn w:val="Normal"/>
    <w:qFormat/>
    <w:rsid w:val="00E5797E"/>
    <w:pPr>
      <w:ind w:left="720"/>
      <w:contextualSpacing/>
    </w:pPr>
    <w:rPr>
      <w:rFonts w:ascii="Calibri" w:eastAsia="Times New Roman" w:hAnsi="Calibri" w:cs="Times New Roman"/>
      <w:lang w:eastAsia="tr-TR"/>
    </w:rPr>
  </w:style>
  <w:style w:type="paragraph" w:styleId="GvdeMetni">
    <w:name w:val="Body Text"/>
    <w:aliases w:val=" Char Char"/>
    <w:basedOn w:val="Normal"/>
    <w:link w:val="GvdeMetniChar"/>
    <w:rsid w:val="00E5797E"/>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GvdeMetniChar">
    <w:name w:val="Gövde Metni Char"/>
    <w:aliases w:val=" Char Char Char"/>
    <w:basedOn w:val="VarsaylanParagrafYazTipi"/>
    <w:link w:val="GvdeMetni"/>
    <w:rsid w:val="00E5797E"/>
    <w:rPr>
      <w:rFonts w:ascii="Times New Roman" w:eastAsia="Times New Roman" w:hAnsi="Times New Roman" w:cs="Times New Roman"/>
      <w:sz w:val="24"/>
      <w:szCs w:val="24"/>
      <w:lang w:eastAsia="ar-SA"/>
    </w:rPr>
  </w:style>
  <w:style w:type="paragraph" w:styleId="T1">
    <w:name w:val="toc 1"/>
    <w:basedOn w:val="Normal"/>
    <w:next w:val="Normal"/>
    <w:autoRedefine/>
    <w:semiHidden/>
    <w:rsid w:val="00E5797E"/>
    <w:pPr>
      <w:spacing w:after="0"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rsid w:val="00E5797E"/>
    <w:rPr>
      <w:color w:val="0000FF"/>
      <w:u w:val="single"/>
    </w:rPr>
  </w:style>
  <w:style w:type="paragraph" w:styleId="T2">
    <w:name w:val="toc 2"/>
    <w:basedOn w:val="Normal"/>
    <w:next w:val="Normal"/>
    <w:autoRedefine/>
    <w:semiHidden/>
    <w:rsid w:val="00E5797E"/>
    <w:pPr>
      <w:spacing w:after="0" w:line="240" w:lineRule="auto"/>
      <w:ind w:left="240"/>
    </w:pPr>
    <w:rPr>
      <w:rFonts w:ascii="Times New Roman" w:eastAsia="Times New Roman" w:hAnsi="Times New Roman" w:cs="Times New Roman"/>
      <w:sz w:val="24"/>
      <w:szCs w:val="24"/>
      <w:lang w:eastAsia="tr-TR"/>
    </w:rPr>
  </w:style>
  <w:style w:type="paragraph" w:styleId="T3">
    <w:name w:val="toc 3"/>
    <w:basedOn w:val="Normal"/>
    <w:next w:val="Normal"/>
    <w:autoRedefine/>
    <w:semiHidden/>
    <w:rsid w:val="00E5797E"/>
    <w:pPr>
      <w:spacing w:after="0" w:line="240" w:lineRule="auto"/>
      <w:ind w:left="480"/>
    </w:pPr>
    <w:rPr>
      <w:rFonts w:ascii="Times New Roman" w:eastAsia="Times New Roman" w:hAnsi="Times New Roman" w:cs="Times New Roman"/>
      <w:sz w:val="24"/>
      <w:szCs w:val="24"/>
      <w:lang w:eastAsia="tr-TR"/>
    </w:rPr>
  </w:style>
  <w:style w:type="character" w:styleId="SayfaNumaras">
    <w:name w:val="page number"/>
    <w:basedOn w:val="VarsaylanParagrafYazTipi"/>
    <w:rsid w:val="00E5797E"/>
  </w:style>
  <w:style w:type="table" w:styleId="TabloKlavuzu">
    <w:name w:val="Table Grid"/>
    <w:basedOn w:val="NormalTablo"/>
    <w:rsid w:val="00F915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011F62"/>
    <w:rPr>
      <w:color w:val="800080"/>
      <w:u w:val="single"/>
    </w:rPr>
  </w:style>
  <w:style w:type="paragraph" w:customStyle="1" w:styleId="font5">
    <w:name w:val="font5"/>
    <w:basedOn w:val="Normal"/>
    <w:rsid w:val="00011F62"/>
    <w:pPr>
      <w:spacing w:before="100" w:beforeAutospacing="1" w:after="100" w:afterAutospacing="1" w:line="240" w:lineRule="auto"/>
    </w:pPr>
    <w:rPr>
      <w:rFonts w:ascii="Times New Roman" w:eastAsia="Times New Roman" w:hAnsi="Times New Roman" w:cs="Times New Roman"/>
      <w:color w:val="000000"/>
      <w:sz w:val="16"/>
      <w:szCs w:val="16"/>
      <w:lang w:eastAsia="tr-TR"/>
    </w:rPr>
  </w:style>
  <w:style w:type="paragraph" w:customStyle="1" w:styleId="font6">
    <w:name w:val="font6"/>
    <w:basedOn w:val="Normal"/>
    <w:rsid w:val="00011F62"/>
    <w:pP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63">
    <w:name w:val="xl63"/>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tr-TR"/>
    </w:rPr>
  </w:style>
  <w:style w:type="paragraph" w:customStyle="1" w:styleId="xl64">
    <w:name w:val="xl64"/>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tr-TR"/>
    </w:rPr>
  </w:style>
  <w:style w:type="paragraph" w:customStyle="1" w:styleId="xl65">
    <w:name w:val="xl65"/>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6">
    <w:name w:val="xl66"/>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tr-TR"/>
    </w:rPr>
  </w:style>
  <w:style w:type="paragraph" w:customStyle="1" w:styleId="xl67">
    <w:name w:val="xl67"/>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68">
    <w:name w:val="xl68"/>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69">
    <w:name w:val="xl69"/>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70">
    <w:name w:val="xl70"/>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71">
    <w:name w:val="xl71"/>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2">
    <w:name w:val="xl72"/>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tr-TR"/>
    </w:rPr>
  </w:style>
  <w:style w:type="paragraph" w:customStyle="1" w:styleId="xl73">
    <w:name w:val="xl73"/>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74">
    <w:name w:val="xl74"/>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75">
    <w:name w:val="xl75"/>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6">
    <w:name w:val="xl76"/>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7">
    <w:name w:val="xl77"/>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tr-TR"/>
    </w:rPr>
  </w:style>
  <w:style w:type="paragraph" w:customStyle="1" w:styleId="xl78">
    <w:name w:val="xl78"/>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79">
    <w:name w:val="xl79"/>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80">
    <w:name w:val="xl80"/>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tr-TR"/>
    </w:rPr>
  </w:style>
  <w:style w:type="paragraph" w:customStyle="1" w:styleId="xl81">
    <w:name w:val="xl81"/>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tr-TR"/>
    </w:rPr>
  </w:style>
  <w:style w:type="paragraph" w:customStyle="1" w:styleId="xl82">
    <w:name w:val="xl82"/>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83">
    <w:name w:val="xl83"/>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tr-TR"/>
    </w:rPr>
  </w:style>
  <w:style w:type="paragraph" w:customStyle="1" w:styleId="xl84">
    <w:name w:val="xl84"/>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tr-TR"/>
    </w:rPr>
  </w:style>
  <w:style w:type="paragraph" w:customStyle="1" w:styleId="xl85">
    <w:name w:val="xl85"/>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86">
    <w:name w:val="xl86"/>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87">
    <w:name w:val="xl87"/>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88">
    <w:name w:val="xl88"/>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89">
    <w:name w:val="xl89"/>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tr-TR"/>
    </w:rPr>
  </w:style>
  <w:style w:type="paragraph" w:customStyle="1" w:styleId="xl90">
    <w:name w:val="xl90"/>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tr-TR"/>
    </w:rPr>
  </w:style>
  <w:style w:type="paragraph" w:customStyle="1" w:styleId="xl91">
    <w:name w:val="xl91"/>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92">
    <w:name w:val="xl92"/>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93">
    <w:name w:val="xl93"/>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94">
    <w:name w:val="xl94"/>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95">
    <w:name w:val="xl95"/>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96">
    <w:name w:val="xl96"/>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97">
    <w:name w:val="xl97"/>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98">
    <w:name w:val="xl98"/>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99">
    <w:name w:val="xl99"/>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00">
    <w:name w:val="xl100"/>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tr-TR"/>
    </w:rPr>
  </w:style>
  <w:style w:type="paragraph" w:customStyle="1" w:styleId="xl101">
    <w:name w:val="xl101"/>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102">
    <w:name w:val="xl102"/>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103">
    <w:name w:val="xl103"/>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104">
    <w:name w:val="xl104"/>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tr-TR"/>
    </w:rPr>
  </w:style>
  <w:style w:type="paragraph" w:customStyle="1" w:styleId="xl105">
    <w:name w:val="xl105"/>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106">
    <w:name w:val="xl106"/>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107">
    <w:name w:val="xl107"/>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108">
    <w:name w:val="xl108"/>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109">
    <w:name w:val="xl109"/>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110">
    <w:name w:val="xl110"/>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111">
    <w:name w:val="xl111"/>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112">
    <w:name w:val="xl112"/>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113">
    <w:name w:val="xl113"/>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tr-TR"/>
    </w:rPr>
  </w:style>
  <w:style w:type="paragraph" w:customStyle="1" w:styleId="xl114">
    <w:name w:val="xl114"/>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tr-TR"/>
    </w:rPr>
  </w:style>
  <w:style w:type="paragraph" w:customStyle="1" w:styleId="xl115">
    <w:name w:val="xl115"/>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116">
    <w:name w:val="xl116"/>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17">
    <w:name w:val="xl117"/>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18">
    <w:name w:val="xl118"/>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19">
    <w:name w:val="xl119"/>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tr-TR"/>
    </w:rPr>
  </w:style>
  <w:style w:type="paragraph" w:customStyle="1" w:styleId="xl120">
    <w:name w:val="xl120"/>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121">
    <w:name w:val="xl121"/>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122">
    <w:name w:val="xl122"/>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123">
    <w:name w:val="xl123"/>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124">
    <w:name w:val="xl124"/>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125">
    <w:name w:val="xl125"/>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eastAsia="tr-TR"/>
    </w:rPr>
  </w:style>
  <w:style w:type="paragraph" w:customStyle="1" w:styleId="xl126">
    <w:name w:val="xl126"/>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127">
    <w:name w:val="xl127"/>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tr-TR"/>
    </w:rPr>
  </w:style>
  <w:style w:type="paragraph" w:customStyle="1" w:styleId="xl128">
    <w:name w:val="xl128"/>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tr-TR"/>
    </w:rPr>
  </w:style>
  <w:style w:type="paragraph" w:customStyle="1" w:styleId="xl129">
    <w:name w:val="xl129"/>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eastAsia="tr-TR"/>
    </w:rPr>
  </w:style>
  <w:style w:type="paragraph" w:customStyle="1" w:styleId="xl130">
    <w:name w:val="xl130"/>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semiHidden/>
    <w:unhideWhenUsed/>
    <w:rsid w:val="00932CD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32CD3"/>
    <w:rPr>
      <w:rFonts w:ascii="Tahoma" w:hAnsi="Tahoma" w:cs="Tahoma"/>
      <w:sz w:val="16"/>
      <w:szCs w:val="16"/>
    </w:rPr>
  </w:style>
  <w:style w:type="paragraph" w:styleId="stbilgi">
    <w:name w:val="header"/>
    <w:basedOn w:val="Normal"/>
    <w:link w:val="stbilgiChar"/>
    <w:uiPriority w:val="99"/>
    <w:rsid w:val="00E5797E"/>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E5797E"/>
    <w:rPr>
      <w:rFonts w:ascii="Times New Roman" w:eastAsia="Times New Roman" w:hAnsi="Times New Roman" w:cs="Times New Roman"/>
      <w:sz w:val="24"/>
      <w:szCs w:val="24"/>
      <w:lang w:eastAsia="tr-TR"/>
    </w:rPr>
  </w:style>
  <w:style w:type="paragraph" w:styleId="Altbilgi">
    <w:name w:val="footer"/>
    <w:basedOn w:val="Normal"/>
    <w:link w:val="AltbilgiChar"/>
    <w:uiPriority w:val="99"/>
    <w:rsid w:val="00E5797E"/>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E5797E"/>
    <w:rPr>
      <w:rFonts w:ascii="Times New Roman" w:eastAsia="Times New Roman" w:hAnsi="Times New Roman" w:cs="Times New Roman"/>
      <w:sz w:val="24"/>
      <w:szCs w:val="24"/>
      <w:lang w:eastAsia="tr-TR"/>
    </w:rPr>
  </w:style>
  <w:style w:type="paragraph" w:styleId="ListeParagraf">
    <w:name w:val="List Paragraph"/>
    <w:basedOn w:val="Normal"/>
    <w:qFormat/>
    <w:rsid w:val="00E5797E"/>
    <w:pPr>
      <w:ind w:left="720"/>
      <w:contextualSpacing/>
    </w:pPr>
    <w:rPr>
      <w:rFonts w:ascii="Calibri" w:eastAsia="Times New Roman" w:hAnsi="Calibri" w:cs="Times New Roman"/>
      <w:lang w:eastAsia="tr-TR"/>
    </w:rPr>
  </w:style>
  <w:style w:type="paragraph" w:styleId="GvdeMetni">
    <w:name w:val="Body Text"/>
    <w:aliases w:val=" Char Char"/>
    <w:basedOn w:val="Normal"/>
    <w:link w:val="GvdeMetniChar"/>
    <w:rsid w:val="00E5797E"/>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GvdeMetniChar">
    <w:name w:val="Gövde Metni Char"/>
    <w:aliases w:val=" Char Char Char"/>
    <w:basedOn w:val="VarsaylanParagrafYazTipi"/>
    <w:link w:val="GvdeMetni"/>
    <w:rsid w:val="00E5797E"/>
    <w:rPr>
      <w:rFonts w:ascii="Times New Roman" w:eastAsia="Times New Roman" w:hAnsi="Times New Roman" w:cs="Times New Roman"/>
      <w:sz w:val="24"/>
      <w:szCs w:val="24"/>
      <w:lang w:eastAsia="ar-SA"/>
    </w:rPr>
  </w:style>
  <w:style w:type="paragraph" w:styleId="T1">
    <w:name w:val="toc 1"/>
    <w:basedOn w:val="Normal"/>
    <w:next w:val="Normal"/>
    <w:autoRedefine/>
    <w:semiHidden/>
    <w:rsid w:val="00E5797E"/>
    <w:pPr>
      <w:spacing w:after="0"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rsid w:val="00E5797E"/>
    <w:rPr>
      <w:color w:val="0000FF"/>
      <w:u w:val="single"/>
    </w:rPr>
  </w:style>
  <w:style w:type="paragraph" w:styleId="T2">
    <w:name w:val="toc 2"/>
    <w:basedOn w:val="Normal"/>
    <w:next w:val="Normal"/>
    <w:autoRedefine/>
    <w:semiHidden/>
    <w:rsid w:val="00E5797E"/>
    <w:pPr>
      <w:spacing w:after="0" w:line="240" w:lineRule="auto"/>
      <w:ind w:left="240"/>
    </w:pPr>
    <w:rPr>
      <w:rFonts w:ascii="Times New Roman" w:eastAsia="Times New Roman" w:hAnsi="Times New Roman" w:cs="Times New Roman"/>
      <w:sz w:val="24"/>
      <w:szCs w:val="24"/>
      <w:lang w:eastAsia="tr-TR"/>
    </w:rPr>
  </w:style>
  <w:style w:type="paragraph" w:styleId="T3">
    <w:name w:val="toc 3"/>
    <w:basedOn w:val="Normal"/>
    <w:next w:val="Normal"/>
    <w:autoRedefine/>
    <w:semiHidden/>
    <w:rsid w:val="00E5797E"/>
    <w:pPr>
      <w:spacing w:after="0" w:line="240" w:lineRule="auto"/>
      <w:ind w:left="480"/>
    </w:pPr>
    <w:rPr>
      <w:rFonts w:ascii="Times New Roman" w:eastAsia="Times New Roman" w:hAnsi="Times New Roman" w:cs="Times New Roman"/>
      <w:sz w:val="24"/>
      <w:szCs w:val="24"/>
      <w:lang w:eastAsia="tr-TR"/>
    </w:rPr>
  </w:style>
  <w:style w:type="character" w:styleId="SayfaNumaras">
    <w:name w:val="page number"/>
    <w:basedOn w:val="VarsaylanParagrafYazTipi"/>
    <w:rsid w:val="00E5797E"/>
  </w:style>
  <w:style w:type="table" w:styleId="TabloKlavuzu">
    <w:name w:val="Table Grid"/>
    <w:basedOn w:val="NormalTablo"/>
    <w:rsid w:val="00F915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011F62"/>
    <w:rPr>
      <w:color w:val="800080"/>
      <w:u w:val="single"/>
    </w:rPr>
  </w:style>
  <w:style w:type="paragraph" w:customStyle="1" w:styleId="font5">
    <w:name w:val="font5"/>
    <w:basedOn w:val="Normal"/>
    <w:rsid w:val="00011F62"/>
    <w:pPr>
      <w:spacing w:before="100" w:beforeAutospacing="1" w:after="100" w:afterAutospacing="1" w:line="240" w:lineRule="auto"/>
    </w:pPr>
    <w:rPr>
      <w:rFonts w:ascii="Times New Roman" w:eastAsia="Times New Roman" w:hAnsi="Times New Roman" w:cs="Times New Roman"/>
      <w:color w:val="000000"/>
      <w:sz w:val="16"/>
      <w:szCs w:val="16"/>
      <w:lang w:eastAsia="tr-TR"/>
    </w:rPr>
  </w:style>
  <w:style w:type="paragraph" w:customStyle="1" w:styleId="font6">
    <w:name w:val="font6"/>
    <w:basedOn w:val="Normal"/>
    <w:rsid w:val="00011F62"/>
    <w:pP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63">
    <w:name w:val="xl63"/>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tr-TR"/>
    </w:rPr>
  </w:style>
  <w:style w:type="paragraph" w:customStyle="1" w:styleId="xl64">
    <w:name w:val="xl64"/>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tr-TR"/>
    </w:rPr>
  </w:style>
  <w:style w:type="paragraph" w:customStyle="1" w:styleId="xl65">
    <w:name w:val="xl65"/>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6">
    <w:name w:val="xl66"/>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tr-TR"/>
    </w:rPr>
  </w:style>
  <w:style w:type="paragraph" w:customStyle="1" w:styleId="xl67">
    <w:name w:val="xl67"/>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68">
    <w:name w:val="xl68"/>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69">
    <w:name w:val="xl69"/>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70">
    <w:name w:val="xl70"/>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71">
    <w:name w:val="xl71"/>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2">
    <w:name w:val="xl72"/>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tr-TR"/>
    </w:rPr>
  </w:style>
  <w:style w:type="paragraph" w:customStyle="1" w:styleId="xl73">
    <w:name w:val="xl73"/>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74">
    <w:name w:val="xl74"/>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75">
    <w:name w:val="xl75"/>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6">
    <w:name w:val="xl76"/>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7">
    <w:name w:val="xl77"/>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tr-TR"/>
    </w:rPr>
  </w:style>
  <w:style w:type="paragraph" w:customStyle="1" w:styleId="xl78">
    <w:name w:val="xl78"/>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79">
    <w:name w:val="xl79"/>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80">
    <w:name w:val="xl80"/>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tr-TR"/>
    </w:rPr>
  </w:style>
  <w:style w:type="paragraph" w:customStyle="1" w:styleId="xl81">
    <w:name w:val="xl81"/>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tr-TR"/>
    </w:rPr>
  </w:style>
  <w:style w:type="paragraph" w:customStyle="1" w:styleId="xl82">
    <w:name w:val="xl82"/>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83">
    <w:name w:val="xl83"/>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tr-TR"/>
    </w:rPr>
  </w:style>
  <w:style w:type="paragraph" w:customStyle="1" w:styleId="xl84">
    <w:name w:val="xl84"/>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tr-TR"/>
    </w:rPr>
  </w:style>
  <w:style w:type="paragraph" w:customStyle="1" w:styleId="xl85">
    <w:name w:val="xl85"/>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86">
    <w:name w:val="xl86"/>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87">
    <w:name w:val="xl87"/>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88">
    <w:name w:val="xl88"/>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89">
    <w:name w:val="xl89"/>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tr-TR"/>
    </w:rPr>
  </w:style>
  <w:style w:type="paragraph" w:customStyle="1" w:styleId="xl90">
    <w:name w:val="xl90"/>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tr-TR"/>
    </w:rPr>
  </w:style>
  <w:style w:type="paragraph" w:customStyle="1" w:styleId="xl91">
    <w:name w:val="xl91"/>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92">
    <w:name w:val="xl92"/>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93">
    <w:name w:val="xl93"/>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94">
    <w:name w:val="xl94"/>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95">
    <w:name w:val="xl95"/>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96">
    <w:name w:val="xl96"/>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97">
    <w:name w:val="xl97"/>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98">
    <w:name w:val="xl98"/>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99">
    <w:name w:val="xl99"/>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00">
    <w:name w:val="xl100"/>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tr-TR"/>
    </w:rPr>
  </w:style>
  <w:style w:type="paragraph" w:customStyle="1" w:styleId="xl101">
    <w:name w:val="xl101"/>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102">
    <w:name w:val="xl102"/>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103">
    <w:name w:val="xl103"/>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104">
    <w:name w:val="xl104"/>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tr-TR"/>
    </w:rPr>
  </w:style>
  <w:style w:type="paragraph" w:customStyle="1" w:styleId="xl105">
    <w:name w:val="xl105"/>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106">
    <w:name w:val="xl106"/>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107">
    <w:name w:val="xl107"/>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108">
    <w:name w:val="xl108"/>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109">
    <w:name w:val="xl109"/>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110">
    <w:name w:val="xl110"/>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111">
    <w:name w:val="xl111"/>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112">
    <w:name w:val="xl112"/>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113">
    <w:name w:val="xl113"/>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tr-TR"/>
    </w:rPr>
  </w:style>
  <w:style w:type="paragraph" w:customStyle="1" w:styleId="xl114">
    <w:name w:val="xl114"/>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tr-TR"/>
    </w:rPr>
  </w:style>
  <w:style w:type="paragraph" w:customStyle="1" w:styleId="xl115">
    <w:name w:val="xl115"/>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116">
    <w:name w:val="xl116"/>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17">
    <w:name w:val="xl117"/>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18">
    <w:name w:val="xl118"/>
    <w:basedOn w:val="Normal"/>
    <w:rsid w:val="00011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19">
    <w:name w:val="xl119"/>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tr-TR"/>
    </w:rPr>
  </w:style>
  <w:style w:type="paragraph" w:customStyle="1" w:styleId="xl120">
    <w:name w:val="xl120"/>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121">
    <w:name w:val="xl121"/>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122">
    <w:name w:val="xl122"/>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123">
    <w:name w:val="xl123"/>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124">
    <w:name w:val="xl124"/>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125">
    <w:name w:val="xl125"/>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eastAsia="tr-TR"/>
    </w:rPr>
  </w:style>
  <w:style w:type="paragraph" w:customStyle="1" w:styleId="xl126">
    <w:name w:val="xl126"/>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tr-TR"/>
    </w:rPr>
  </w:style>
  <w:style w:type="paragraph" w:customStyle="1" w:styleId="xl127">
    <w:name w:val="xl127"/>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tr-TR"/>
    </w:rPr>
  </w:style>
  <w:style w:type="paragraph" w:customStyle="1" w:styleId="xl128">
    <w:name w:val="xl128"/>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tr-TR"/>
    </w:rPr>
  </w:style>
  <w:style w:type="paragraph" w:customStyle="1" w:styleId="xl129">
    <w:name w:val="xl129"/>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eastAsia="tr-TR"/>
    </w:rPr>
  </w:style>
  <w:style w:type="paragraph" w:customStyle="1" w:styleId="xl130">
    <w:name w:val="xl130"/>
    <w:basedOn w:val="Normal"/>
    <w:rsid w:val="0001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210410">
      <w:bodyDiv w:val="1"/>
      <w:marLeft w:val="0"/>
      <w:marRight w:val="0"/>
      <w:marTop w:val="0"/>
      <w:marBottom w:val="0"/>
      <w:divBdr>
        <w:top w:val="none" w:sz="0" w:space="0" w:color="auto"/>
        <w:left w:val="none" w:sz="0" w:space="0" w:color="auto"/>
        <w:bottom w:val="none" w:sz="0" w:space="0" w:color="auto"/>
        <w:right w:val="none" w:sz="0" w:space="0" w:color="auto"/>
      </w:divBdr>
    </w:div>
    <w:div w:id="445002149">
      <w:bodyDiv w:val="1"/>
      <w:marLeft w:val="0"/>
      <w:marRight w:val="0"/>
      <w:marTop w:val="0"/>
      <w:marBottom w:val="0"/>
      <w:divBdr>
        <w:top w:val="none" w:sz="0" w:space="0" w:color="auto"/>
        <w:left w:val="none" w:sz="0" w:space="0" w:color="auto"/>
        <w:bottom w:val="none" w:sz="0" w:space="0" w:color="auto"/>
        <w:right w:val="none" w:sz="0" w:space="0" w:color="auto"/>
      </w:divBdr>
    </w:div>
    <w:div w:id="903490727">
      <w:bodyDiv w:val="1"/>
      <w:marLeft w:val="0"/>
      <w:marRight w:val="0"/>
      <w:marTop w:val="0"/>
      <w:marBottom w:val="0"/>
      <w:divBdr>
        <w:top w:val="none" w:sz="0" w:space="0" w:color="auto"/>
        <w:left w:val="none" w:sz="0" w:space="0" w:color="auto"/>
        <w:bottom w:val="none" w:sz="0" w:space="0" w:color="auto"/>
        <w:right w:val="none" w:sz="0" w:space="0" w:color="auto"/>
      </w:divBdr>
    </w:div>
    <w:div w:id="1061948565">
      <w:bodyDiv w:val="1"/>
      <w:marLeft w:val="0"/>
      <w:marRight w:val="0"/>
      <w:marTop w:val="0"/>
      <w:marBottom w:val="0"/>
      <w:divBdr>
        <w:top w:val="none" w:sz="0" w:space="0" w:color="auto"/>
        <w:left w:val="none" w:sz="0" w:space="0" w:color="auto"/>
        <w:bottom w:val="none" w:sz="0" w:space="0" w:color="auto"/>
        <w:right w:val="none" w:sz="0" w:space="0" w:color="auto"/>
      </w:divBdr>
    </w:div>
    <w:div w:id="1180505014">
      <w:bodyDiv w:val="1"/>
      <w:marLeft w:val="0"/>
      <w:marRight w:val="0"/>
      <w:marTop w:val="0"/>
      <w:marBottom w:val="0"/>
      <w:divBdr>
        <w:top w:val="none" w:sz="0" w:space="0" w:color="auto"/>
        <w:left w:val="none" w:sz="0" w:space="0" w:color="auto"/>
        <w:bottom w:val="none" w:sz="0" w:space="0" w:color="auto"/>
        <w:right w:val="none" w:sz="0" w:space="0" w:color="auto"/>
      </w:divBdr>
    </w:div>
    <w:div w:id="1260869129">
      <w:bodyDiv w:val="1"/>
      <w:marLeft w:val="0"/>
      <w:marRight w:val="0"/>
      <w:marTop w:val="0"/>
      <w:marBottom w:val="0"/>
      <w:divBdr>
        <w:top w:val="none" w:sz="0" w:space="0" w:color="auto"/>
        <w:left w:val="none" w:sz="0" w:space="0" w:color="auto"/>
        <w:bottom w:val="none" w:sz="0" w:space="0" w:color="auto"/>
        <w:right w:val="none" w:sz="0" w:space="0" w:color="auto"/>
      </w:divBdr>
    </w:div>
    <w:div w:id="159574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F898D-1146-49A9-9DE2-22EA10BE5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11</Pages>
  <Words>2255</Words>
  <Characters>12859</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15084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Osman</cp:lastModifiedBy>
  <cp:revision>59</cp:revision>
  <cp:lastPrinted>2015-03-23T11:16:00Z</cp:lastPrinted>
  <dcterms:created xsi:type="dcterms:W3CDTF">2015-03-23T07:14:00Z</dcterms:created>
  <dcterms:modified xsi:type="dcterms:W3CDTF">2018-04-12T12:23:00Z</dcterms:modified>
</cp:coreProperties>
</file>